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18" w:rsidRDefault="00094F39" w:rsidP="00F03C18">
      <w:pPr>
        <w:spacing w:line="360" w:lineRule="auto"/>
        <w:jc w:val="center"/>
        <w:rPr>
          <w:rFonts w:ascii="Tahoma" w:hAnsi="Tahoma" w:cs="Tahoma"/>
          <w:b/>
          <w:sz w:val="28"/>
          <w:szCs w:val="28"/>
        </w:rPr>
      </w:pPr>
      <w:bookmarkStart w:id="0" w:name="_GoBack"/>
      <w:bookmarkEnd w:id="0"/>
      <w:r w:rsidRPr="00A92571">
        <w:rPr>
          <w:rFonts w:ascii="Tahoma" w:hAnsi="Tahoma" w:cs="Tahoma"/>
          <w:b/>
          <w:sz w:val="28"/>
          <w:szCs w:val="28"/>
        </w:rPr>
        <w:t>Conférence « L’exécution des arrêts de la Cour européenne des droits de l’homme</w:t>
      </w:r>
      <w:r w:rsidR="00A92571" w:rsidRPr="00A92571">
        <w:rPr>
          <w:rFonts w:ascii="Tahoma" w:hAnsi="Tahoma" w:cs="Tahoma"/>
          <w:b/>
          <w:sz w:val="28"/>
          <w:szCs w:val="28"/>
        </w:rPr>
        <w:t xml:space="preserve"> </w:t>
      </w:r>
      <w:r w:rsidRPr="00A92571">
        <w:rPr>
          <w:rFonts w:ascii="Tahoma" w:hAnsi="Tahoma" w:cs="Tahoma"/>
          <w:b/>
          <w:sz w:val="28"/>
          <w:szCs w:val="28"/>
        </w:rPr>
        <w:t>et la marge d’appréciation »</w:t>
      </w:r>
    </w:p>
    <w:p w:rsidR="00094F39" w:rsidRPr="00A92571" w:rsidRDefault="00094F39" w:rsidP="00F03C18">
      <w:pPr>
        <w:spacing w:line="360" w:lineRule="auto"/>
        <w:jc w:val="center"/>
        <w:rPr>
          <w:rFonts w:ascii="Tahoma" w:hAnsi="Tahoma" w:cs="Tahoma"/>
          <w:b/>
          <w:sz w:val="28"/>
          <w:szCs w:val="28"/>
        </w:rPr>
      </w:pPr>
      <w:r w:rsidRPr="00A92571">
        <w:rPr>
          <w:rFonts w:ascii="Tahoma" w:hAnsi="Tahoma" w:cs="Tahoma"/>
          <w:b/>
          <w:sz w:val="28"/>
          <w:szCs w:val="28"/>
        </w:rPr>
        <w:t>(Pérouse, 26-27 octobre 2018)</w:t>
      </w:r>
    </w:p>
    <w:p w:rsidR="00094F39" w:rsidRPr="00F03C18" w:rsidRDefault="00094F39" w:rsidP="00F03C18">
      <w:pPr>
        <w:jc w:val="center"/>
        <w:rPr>
          <w:rFonts w:ascii="Tahoma" w:hAnsi="Tahoma" w:cs="Tahoma"/>
          <w:sz w:val="24"/>
          <w:szCs w:val="24"/>
        </w:rPr>
      </w:pPr>
    </w:p>
    <w:p w:rsidR="00F03C18" w:rsidRDefault="00094F39" w:rsidP="00F03C18">
      <w:pPr>
        <w:pStyle w:val="Nessunaspaziatura"/>
        <w:spacing w:line="276" w:lineRule="auto"/>
        <w:jc w:val="center"/>
        <w:rPr>
          <w:rFonts w:ascii="Tahoma" w:hAnsi="Tahoma" w:cs="Tahoma"/>
          <w:b/>
        </w:rPr>
      </w:pPr>
      <w:r w:rsidRPr="00F03C18">
        <w:rPr>
          <w:rFonts w:ascii="Tahoma" w:hAnsi="Tahoma" w:cs="Tahoma"/>
          <w:b/>
        </w:rPr>
        <w:t>Intervention sur « Le r</w:t>
      </w:r>
      <w:r w:rsidR="00393468" w:rsidRPr="00F03C18">
        <w:rPr>
          <w:rFonts w:ascii="Tahoma" w:hAnsi="Tahoma" w:cs="Tahoma"/>
          <w:b/>
        </w:rPr>
        <w:t xml:space="preserve">ôle du Comité des Ministres </w:t>
      </w:r>
      <w:r w:rsidR="00F03C18">
        <w:rPr>
          <w:rFonts w:ascii="Tahoma" w:hAnsi="Tahoma" w:cs="Tahoma"/>
          <w:b/>
        </w:rPr>
        <w:t xml:space="preserve"> </w:t>
      </w:r>
      <w:r w:rsidR="00393468" w:rsidRPr="00F03C18">
        <w:rPr>
          <w:rFonts w:ascii="Tahoma" w:hAnsi="Tahoma" w:cs="Tahoma"/>
          <w:b/>
        </w:rPr>
        <w:t>du C</w:t>
      </w:r>
      <w:r w:rsidRPr="00F03C18">
        <w:rPr>
          <w:rFonts w:ascii="Tahoma" w:hAnsi="Tahoma" w:cs="Tahoma"/>
          <w:b/>
        </w:rPr>
        <w:t>onseil de l’</w:t>
      </w:r>
      <w:r w:rsidR="004A13A3" w:rsidRPr="00F03C18">
        <w:rPr>
          <w:rFonts w:ascii="Tahoma" w:hAnsi="Tahoma" w:cs="Tahoma"/>
          <w:b/>
        </w:rPr>
        <w:t>Europe</w:t>
      </w:r>
    </w:p>
    <w:p w:rsidR="00F03C18" w:rsidRDefault="004A13A3" w:rsidP="00F03C18">
      <w:pPr>
        <w:pStyle w:val="Nessunaspaziatura"/>
        <w:spacing w:line="276" w:lineRule="auto"/>
        <w:jc w:val="center"/>
        <w:rPr>
          <w:rFonts w:ascii="Tahoma" w:hAnsi="Tahoma" w:cs="Tahoma"/>
          <w:b/>
        </w:rPr>
      </w:pPr>
      <w:proofErr w:type="gramStart"/>
      <w:r w:rsidRPr="00F03C18">
        <w:rPr>
          <w:rFonts w:ascii="Tahoma" w:hAnsi="Tahoma" w:cs="Tahoma"/>
          <w:b/>
        </w:rPr>
        <w:t>dans</w:t>
      </w:r>
      <w:proofErr w:type="gramEnd"/>
      <w:r w:rsidRPr="00F03C18">
        <w:rPr>
          <w:rFonts w:ascii="Tahoma" w:hAnsi="Tahoma" w:cs="Tahoma"/>
          <w:b/>
        </w:rPr>
        <w:t xml:space="preserve"> la surveillance de </w:t>
      </w:r>
      <w:r w:rsidR="00094F39" w:rsidRPr="00F03C18">
        <w:rPr>
          <w:rFonts w:ascii="Tahoma" w:hAnsi="Tahoma" w:cs="Tahoma"/>
          <w:b/>
        </w:rPr>
        <w:t>l’exécution</w:t>
      </w:r>
      <w:r w:rsidRPr="00F03C18">
        <w:rPr>
          <w:rFonts w:ascii="Tahoma" w:hAnsi="Tahoma" w:cs="Tahoma"/>
          <w:b/>
        </w:rPr>
        <w:t xml:space="preserve"> </w:t>
      </w:r>
      <w:r w:rsidR="00094F39" w:rsidRPr="00F03C18">
        <w:rPr>
          <w:rFonts w:ascii="Tahoma" w:hAnsi="Tahoma" w:cs="Tahoma"/>
          <w:b/>
        </w:rPr>
        <w:t>des arrêts</w:t>
      </w:r>
      <w:r w:rsidR="00F03C18">
        <w:rPr>
          <w:rFonts w:ascii="Tahoma" w:hAnsi="Tahoma" w:cs="Tahoma"/>
          <w:b/>
        </w:rPr>
        <w:t xml:space="preserve"> </w:t>
      </w:r>
    </w:p>
    <w:p w:rsidR="00094F39" w:rsidRPr="00F03C18" w:rsidRDefault="00094F39" w:rsidP="00F03C18">
      <w:pPr>
        <w:pStyle w:val="Nessunaspaziatura"/>
        <w:spacing w:line="276" w:lineRule="auto"/>
        <w:jc w:val="center"/>
        <w:rPr>
          <w:rFonts w:ascii="Tahoma" w:hAnsi="Tahoma" w:cs="Tahoma"/>
          <w:b/>
        </w:rPr>
      </w:pPr>
      <w:proofErr w:type="gramStart"/>
      <w:r w:rsidRPr="00F03C18">
        <w:rPr>
          <w:rFonts w:ascii="Tahoma" w:hAnsi="Tahoma" w:cs="Tahoma"/>
          <w:b/>
        </w:rPr>
        <w:t>de</w:t>
      </w:r>
      <w:proofErr w:type="gramEnd"/>
      <w:r w:rsidRPr="00F03C18">
        <w:rPr>
          <w:rFonts w:ascii="Tahoma" w:hAnsi="Tahoma" w:cs="Tahoma"/>
          <w:b/>
        </w:rPr>
        <w:t xml:space="preserve"> la Cour européenne des droits de l’homme »</w:t>
      </w:r>
    </w:p>
    <w:p w:rsidR="00094F39" w:rsidRPr="00F03C18" w:rsidRDefault="00094F39" w:rsidP="00F03C18">
      <w:pPr>
        <w:jc w:val="center"/>
        <w:rPr>
          <w:rFonts w:ascii="Tahoma" w:hAnsi="Tahoma" w:cs="Tahoma"/>
          <w:b/>
          <w:i/>
        </w:rPr>
      </w:pPr>
    </w:p>
    <w:p w:rsidR="00094F39" w:rsidRPr="000F61EE" w:rsidRDefault="00094F39" w:rsidP="00F03C18">
      <w:pPr>
        <w:jc w:val="both"/>
        <w:rPr>
          <w:rFonts w:ascii="Tahoma" w:hAnsi="Tahoma" w:cs="Tahoma"/>
          <w:sz w:val="24"/>
          <w:szCs w:val="24"/>
        </w:rPr>
      </w:pPr>
    </w:p>
    <w:p w:rsidR="00C768D8" w:rsidRPr="000F61EE" w:rsidRDefault="00C768D8" w:rsidP="00A92571">
      <w:pPr>
        <w:spacing w:line="360" w:lineRule="auto"/>
        <w:jc w:val="both"/>
        <w:rPr>
          <w:rFonts w:ascii="Tahoma" w:hAnsi="Tahoma" w:cs="Tahoma"/>
          <w:sz w:val="24"/>
          <w:szCs w:val="24"/>
        </w:rPr>
      </w:pPr>
      <w:r w:rsidRPr="000F61EE">
        <w:rPr>
          <w:rFonts w:ascii="Tahoma" w:hAnsi="Tahoma" w:cs="Tahoma"/>
          <w:sz w:val="24"/>
          <w:szCs w:val="24"/>
        </w:rPr>
        <w:t>Mesdames, Messieurs,</w:t>
      </w:r>
    </w:p>
    <w:p w:rsidR="004A13A3" w:rsidRPr="000F61EE" w:rsidRDefault="004A13A3" w:rsidP="00A92571">
      <w:pPr>
        <w:spacing w:line="360" w:lineRule="auto"/>
        <w:jc w:val="both"/>
        <w:rPr>
          <w:rFonts w:ascii="Tahoma" w:hAnsi="Tahoma" w:cs="Tahoma"/>
          <w:sz w:val="24"/>
          <w:szCs w:val="24"/>
        </w:rPr>
      </w:pPr>
    </w:p>
    <w:p w:rsidR="00C768D8" w:rsidRPr="000F61EE" w:rsidRDefault="00C768D8" w:rsidP="00A92571">
      <w:pPr>
        <w:spacing w:line="360" w:lineRule="auto"/>
        <w:jc w:val="both"/>
        <w:rPr>
          <w:rFonts w:ascii="Tahoma" w:hAnsi="Tahoma" w:cs="Tahoma"/>
          <w:sz w:val="24"/>
          <w:szCs w:val="24"/>
        </w:rPr>
      </w:pPr>
      <w:r w:rsidRPr="000F61EE">
        <w:rPr>
          <w:rFonts w:ascii="Tahoma" w:hAnsi="Tahoma" w:cs="Tahoma"/>
          <w:sz w:val="24"/>
          <w:szCs w:val="24"/>
        </w:rPr>
        <w:t xml:space="preserve">Je suis très honoré de l’invitation qui m’a été adressée par le Centre International de la Magistrature Luigi Severini de vous présenter « Le rôle du Comité des ministres du Conseil de l’Europe dans la surveillance de l’exécution des arrêts de la Cour européenne des Droits de l’Homme ». </w:t>
      </w:r>
    </w:p>
    <w:p w:rsidR="00C768D8" w:rsidRPr="000F61EE" w:rsidRDefault="004735A8" w:rsidP="00A92571">
      <w:pPr>
        <w:spacing w:line="360" w:lineRule="auto"/>
        <w:jc w:val="both"/>
        <w:rPr>
          <w:rFonts w:ascii="Tahoma" w:hAnsi="Tahoma" w:cs="Tahoma"/>
          <w:sz w:val="24"/>
          <w:szCs w:val="24"/>
        </w:rPr>
      </w:pPr>
      <w:r w:rsidRPr="000F61EE">
        <w:rPr>
          <w:rFonts w:ascii="Tahoma" w:hAnsi="Tahoma" w:cs="Tahoma"/>
          <w:sz w:val="24"/>
          <w:szCs w:val="24"/>
        </w:rPr>
        <w:t>Avant d’abord</w:t>
      </w:r>
      <w:r w:rsidR="00C768D8" w:rsidRPr="000F61EE">
        <w:rPr>
          <w:rFonts w:ascii="Tahoma" w:hAnsi="Tahoma" w:cs="Tahoma"/>
          <w:sz w:val="24"/>
          <w:szCs w:val="24"/>
        </w:rPr>
        <w:t>er un certain nombre de questions de fond liées à ce sujet, permettez-moi d’évoquer d’abord le fonctionnement du mécanisme de surveillance.</w:t>
      </w:r>
    </w:p>
    <w:p w:rsidR="007451DB" w:rsidRPr="000F61EE" w:rsidRDefault="00C768D8" w:rsidP="00A92571">
      <w:pPr>
        <w:spacing w:line="360" w:lineRule="auto"/>
        <w:jc w:val="both"/>
        <w:rPr>
          <w:rFonts w:ascii="Tahoma" w:hAnsi="Tahoma" w:cs="Tahoma"/>
          <w:sz w:val="24"/>
          <w:szCs w:val="24"/>
        </w:rPr>
      </w:pPr>
      <w:r w:rsidRPr="000F61EE">
        <w:rPr>
          <w:rFonts w:ascii="Tahoma" w:hAnsi="Tahoma" w:cs="Tahoma"/>
          <w:sz w:val="24"/>
          <w:szCs w:val="24"/>
        </w:rPr>
        <w:t>A titre préliminaire, il est important de rappeler que l</w:t>
      </w:r>
      <w:r w:rsidR="007451DB" w:rsidRPr="000F61EE">
        <w:rPr>
          <w:rFonts w:ascii="Tahoma" w:hAnsi="Tahoma" w:cs="Tahoma"/>
          <w:sz w:val="24"/>
          <w:szCs w:val="24"/>
        </w:rPr>
        <w:t xml:space="preserve">e Comité des Ministres surveille l’exécution des arrêts de la Cour européenne des Droits de l’Homme par les Etats Parties à la CEDH en application de l’article 46, paragraphe 2 de la Convention, étant </w:t>
      </w:r>
      <w:r w:rsidR="001E016B" w:rsidRPr="000F61EE">
        <w:rPr>
          <w:rFonts w:ascii="Tahoma" w:hAnsi="Tahoma" w:cs="Tahoma"/>
          <w:sz w:val="24"/>
          <w:szCs w:val="24"/>
        </w:rPr>
        <w:t xml:space="preserve">également </w:t>
      </w:r>
      <w:r w:rsidR="007451DB" w:rsidRPr="000F61EE">
        <w:rPr>
          <w:rFonts w:ascii="Tahoma" w:hAnsi="Tahoma" w:cs="Tahoma"/>
          <w:sz w:val="24"/>
          <w:szCs w:val="24"/>
        </w:rPr>
        <w:t>rappelé qu’en application du paragraphe 1 du même article, les Etats s’engagent à se conformer aux arrêts définitifs rendus par la Cour dans les affaires auxquels ils sont parties.</w:t>
      </w:r>
    </w:p>
    <w:p w:rsidR="007451DB" w:rsidRPr="000F61EE" w:rsidRDefault="001E016B" w:rsidP="00A92571">
      <w:pPr>
        <w:spacing w:line="360" w:lineRule="auto"/>
        <w:jc w:val="both"/>
        <w:rPr>
          <w:rFonts w:ascii="Tahoma" w:hAnsi="Tahoma" w:cs="Tahoma"/>
          <w:sz w:val="24"/>
          <w:szCs w:val="24"/>
        </w:rPr>
      </w:pPr>
      <w:r w:rsidRPr="000F61EE">
        <w:rPr>
          <w:rFonts w:ascii="Tahoma" w:hAnsi="Tahoma" w:cs="Tahoma"/>
          <w:sz w:val="24"/>
          <w:szCs w:val="24"/>
        </w:rPr>
        <w:t>Pour mémoire</w:t>
      </w:r>
      <w:r w:rsidR="007451DB" w:rsidRPr="000F61EE">
        <w:rPr>
          <w:rFonts w:ascii="Tahoma" w:hAnsi="Tahoma" w:cs="Tahoma"/>
          <w:sz w:val="24"/>
          <w:szCs w:val="24"/>
        </w:rPr>
        <w:t>, le Comité des Ministres est l’organe exécutif du Conseil de l’Europe qui a notamment pour mission d’adopter le budget et le programme d’activité de l’Organisation, mais aussi les instruments juridiques élaborés au sein du Conseil de l’Europe, qu’il s’agisse des instru</w:t>
      </w:r>
      <w:r w:rsidR="004735A8" w:rsidRPr="000F61EE">
        <w:rPr>
          <w:rFonts w:ascii="Tahoma" w:hAnsi="Tahoma" w:cs="Tahoma"/>
          <w:sz w:val="24"/>
          <w:szCs w:val="24"/>
        </w:rPr>
        <w:t>ments contraignants que sont le</w:t>
      </w:r>
      <w:r w:rsidR="006441A0" w:rsidRPr="000F61EE">
        <w:rPr>
          <w:rFonts w:ascii="Tahoma" w:hAnsi="Tahoma" w:cs="Tahoma"/>
          <w:sz w:val="24"/>
          <w:szCs w:val="24"/>
        </w:rPr>
        <w:t>s Convention ou d</w:t>
      </w:r>
      <w:r w:rsidR="007451DB" w:rsidRPr="000F61EE">
        <w:rPr>
          <w:rFonts w:ascii="Tahoma" w:hAnsi="Tahoma" w:cs="Tahoma"/>
          <w:sz w:val="24"/>
          <w:szCs w:val="24"/>
        </w:rPr>
        <w:t>es instruments non contraignant</w:t>
      </w:r>
      <w:r w:rsidR="004735A8" w:rsidRPr="000F61EE">
        <w:rPr>
          <w:rFonts w:ascii="Tahoma" w:hAnsi="Tahoma" w:cs="Tahoma"/>
          <w:sz w:val="24"/>
          <w:szCs w:val="24"/>
        </w:rPr>
        <w:t>s que sont les R</w:t>
      </w:r>
      <w:r w:rsidR="00C768D8" w:rsidRPr="000F61EE">
        <w:rPr>
          <w:rFonts w:ascii="Tahoma" w:hAnsi="Tahoma" w:cs="Tahoma"/>
          <w:sz w:val="24"/>
          <w:szCs w:val="24"/>
        </w:rPr>
        <w:t>ecommandations.</w:t>
      </w:r>
    </w:p>
    <w:p w:rsidR="007451DB" w:rsidRPr="000F61EE" w:rsidRDefault="007451DB" w:rsidP="00A92571">
      <w:pPr>
        <w:spacing w:line="360" w:lineRule="auto"/>
        <w:jc w:val="both"/>
        <w:rPr>
          <w:rFonts w:ascii="Tahoma" w:hAnsi="Tahoma" w:cs="Tahoma"/>
          <w:sz w:val="24"/>
          <w:szCs w:val="24"/>
        </w:rPr>
      </w:pPr>
      <w:r w:rsidRPr="000F61EE">
        <w:rPr>
          <w:rFonts w:ascii="Tahoma" w:hAnsi="Tahoma" w:cs="Tahoma"/>
          <w:sz w:val="24"/>
          <w:szCs w:val="24"/>
        </w:rPr>
        <w:lastRenderedPageBreak/>
        <w:t>Le Comité des Ministres est composé des Ministres des Affaires étrangères des 47 Etats membres</w:t>
      </w:r>
      <w:r w:rsidR="00AF6BD5" w:rsidRPr="000F61EE">
        <w:rPr>
          <w:rFonts w:ascii="Tahoma" w:hAnsi="Tahoma" w:cs="Tahoma"/>
          <w:sz w:val="24"/>
          <w:szCs w:val="24"/>
        </w:rPr>
        <w:t>, qui sont représentés à Strasbourg par des Ambassadeurs siégeant au sein de ce qu’on appelle les Délégués des Ministres. Ce sont les Délégués qui assument le rôle de surveillance de l’exécution des arrêts de la Cour. A cette fin, ils tiennent des réunions consacrées spécifiquement à ces questions, appelées «réunions Droits de l’Homme », en plus de leurs réunions rég</w:t>
      </w:r>
      <w:r w:rsidR="004735A8" w:rsidRPr="000F61EE">
        <w:rPr>
          <w:rFonts w:ascii="Tahoma" w:hAnsi="Tahoma" w:cs="Tahoma"/>
          <w:sz w:val="24"/>
          <w:szCs w:val="24"/>
        </w:rPr>
        <w:t>ulières. Ces réunions Droits de l’Homme</w:t>
      </w:r>
      <w:r w:rsidR="00AF6BD5" w:rsidRPr="000F61EE">
        <w:rPr>
          <w:rFonts w:ascii="Tahoma" w:hAnsi="Tahoma" w:cs="Tahoma"/>
          <w:sz w:val="24"/>
          <w:szCs w:val="24"/>
        </w:rPr>
        <w:t>, d’une durée de trois jours, ont lieu quatre fois par an (mars, juin, septembre, décembre). En application d’</w:t>
      </w:r>
      <w:r w:rsidR="00F91319" w:rsidRPr="000F61EE">
        <w:rPr>
          <w:rFonts w:ascii="Tahoma" w:hAnsi="Tahoma" w:cs="Tahoma"/>
          <w:sz w:val="24"/>
          <w:szCs w:val="24"/>
        </w:rPr>
        <w:t>une pratique bien établie</w:t>
      </w:r>
      <w:r w:rsidR="00AF6BD5" w:rsidRPr="000F61EE">
        <w:rPr>
          <w:rFonts w:ascii="Tahoma" w:hAnsi="Tahoma" w:cs="Tahoma"/>
          <w:sz w:val="24"/>
          <w:szCs w:val="24"/>
        </w:rPr>
        <w:t>, elles sont présidées, non pas par le pays qui assume la Présidence du Comité des Ministres, mais par celui qui assume la Vice-Présidence. Mais il ne s’agit que d’une pratique et la présidence en exercice du Comité peut décider de s’en écarter en présidant elle-même les réunions Droit de l’Homme, en plus des réunions régulières du Comité des Ministre</w:t>
      </w:r>
      <w:r w:rsidR="00C768D8" w:rsidRPr="000F61EE">
        <w:rPr>
          <w:rFonts w:ascii="Tahoma" w:hAnsi="Tahoma" w:cs="Tahoma"/>
          <w:sz w:val="24"/>
          <w:szCs w:val="24"/>
        </w:rPr>
        <w:t>s</w:t>
      </w:r>
      <w:r w:rsidR="00F91319" w:rsidRPr="000F61EE">
        <w:rPr>
          <w:rFonts w:ascii="Tahoma" w:hAnsi="Tahoma" w:cs="Tahoma"/>
          <w:sz w:val="24"/>
          <w:szCs w:val="24"/>
        </w:rPr>
        <w:t>.</w:t>
      </w:r>
    </w:p>
    <w:p w:rsidR="00F91319" w:rsidRPr="000F61EE" w:rsidRDefault="00F91319" w:rsidP="00A92571">
      <w:pPr>
        <w:spacing w:line="360" w:lineRule="auto"/>
        <w:jc w:val="both"/>
        <w:rPr>
          <w:rFonts w:ascii="Tahoma" w:hAnsi="Tahoma" w:cs="Tahoma"/>
          <w:sz w:val="24"/>
          <w:szCs w:val="24"/>
        </w:rPr>
      </w:pPr>
      <w:r w:rsidRPr="000F61EE">
        <w:rPr>
          <w:rFonts w:ascii="Tahoma" w:hAnsi="Tahoma" w:cs="Tahoma"/>
          <w:sz w:val="24"/>
          <w:szCs w:val="24"/>
        </w:rPr>
        <w:t>Les réunions Droits de l’Homme sont régies par les règles générales régissant le fonctionnement du Comité des Ministres notamment lorsque, occasionnellement, les Délégués des Ministres sont appelés à adopter des décisions par un vote. Dans le même temps, un certain nombre de règles particulières viennent compléter, voire déroger, à ces règles générales. Je voudrais brièvement présenter ces règles particulières, telles que mises en plac</w:t>
      </w:r>
      <w:r w:rsidR="004735A8" w:rsidRPr="000F61EE">
        <w:rPr>
          <w:rFonts w:ascii="Tahoma" w:hAnsi="Tahoma" w:cs="Tahoma"/>
          <w:sz w:val="24"/>
          <w:szCs w:val="24"/>
        </w:rPr>
        <w:t>e depuis une réforme entreprise</w:t>
      </w:r>
      <w:r w:rsidR="004A13A3" w:rsidRPr="000F61EE">
        <w:rPr>
          <w:rFonts w:ascii="Tahoma" w:hAnsi="Tahoma" w:cs="Tahoma"/>
          <w:sz w:val="24"/>
          <w:szCs w:val="24"/>
        </w:rPr>
        <w:t xml:space="preserve"> en 2010</w:t>
      </w:r>
      <w:r w:rsidRPr="000F61EE">
        <w:rPr>
          <w:rFonts w:ascii="Tahoma" w:hAnsi="Tahoma" w:cs="Tahoma"/>
          <w:sz w:val="24"/>
          <w:szCs w:val="24"/>
        </w:rPr>
        <w:t>.</w:t>
      </w:r>
    </w:p>
    <w:p w:rsidR="004A13A3" w:rsidRPr="000F61EE" w:rsidRDefault="00173196" w:rsidP="00A92571">
      <w:pPr>
        <w:spacing w:line="360" w:lineRule="auto"/>
        <w:jc w:val="both"/>
        <w:rPr>
          <w:rFonts w:ascii="Tahoma" w:hAnsi="Tahoma" w:cs="Tahoma"/>
          <w:sz w:val="24"/>
          <w:szCs w:val="24"/>
        </w:rPr>
      </w:pPr>
      <w:r w:rsidRPr="000F61EE">
        <w:rPr>
          <w:rFonts w:ascii="Tahoma" w:hAnsi="Tahoma" w:cs="Tahoma"/>
          <w:sz w:val="24"/>
          <w:szCs w:val="24"/>
        </w:rPr>
        <w:t>Lorsqu’un arrêt a été rendu par la Cour, la première étape dans le processus de surveillance consiste à classifier cet arrêt selon ce qu’on appelle soit la procédure standard soit la procédure renforcée. La procédure standard concerne les affaires pour lesquelles le processus d’exécution ne paraît pas soulever de difficulté particulière. La surveillance de l’exécution se fait alors directement entre le secrétariat et l’Etat partie concerné, en dehors d</w:t>
      </w:r>
      <w:r w:rsidR="008D0187" w:rsidRPr="000F61EE">
        <w:rPr>
          <w:rFonts w:ascii="Tahoma" w:hAnsi="Tahoma" w:cs="Tahoma"/>
          <w:sz w:val="24"/>
          <w:szCs w:val="24"/>
        </w:rPr>
        <w:t>es réunions Droits de l’Homme. L</w:t>
      </w:r>
      <w:r w:rsidRPr="000F61EE">
        <w:rPr>
          <w:rFonts w:ascii="Tahoma" w:hAnsi="Tahoma" w:cs="Tahoma"/>
          <w:sz w:val="24"/>
          <w:szCs w:val="24"/>
        </w:rPr>
        <w:t>e Comité de</w:t>
      </w:r>
      <w:r w:rsidR="008D0187" w:rsidRPr="000F61EE">
        <w:rPr>
          <w:rFonts w:ascii="Tahoma" w:hAnsi="Tahoma" w:cs="Tahoma"/>
          <w:sz w:val="24"/>
          <w:szCs w:val="24"/>
        </w:rPr>
        <w:t>s Ministres n’intervie</w:t>
      </w:r>
      <w:r w:rsidR="004735A8" w:rsidRPr="000F61EE">
        <w:rPr>
          <w:rFonts w:ascii="Tahoma" w:hAnsi="Tahoma" w:cs="Tahoma"/>
          <w:sz w:val="24"/>
          <w:szCs w:val="24"/>
        </w:rPr>
        <w:t xml:space="preserve">nt </w:t>
      </w:r>
      <w:r w:rsidR="008D0187" w:rsidRPr="000F61EE">
        <w:rPr>
          <w:rFonts w:ascii="Tahoma" w:hAnsi="Tahoma" w:cs="Tahoma"/>
          <w:sz w:val="24"/>
          <w:szCs w:val="24"/>
        </w:rPr>
        <w:t xml:space="preserve">alors qu’au stade </w:t>
      </w:r>
      <w:r w:rsidR="00F8138E">
        <w:rPr>
          <w:rFonts w:ascii="Tahoma" w:hAnsi="Tahoma" w:cs="Tahoma"/>
          <w:sz w:val="24"/>
          <w:szCs w:val="24"/>
        </w:rPr>
        <w:t xml:space="preserve">initial pour prendre note des plans d’action soumis et au stade </w:t>
      </w:r>
      <w:r w:rsidR="008D0187" w:rsidRPr="000F61EE">
        <w:rPr>
          <w:rFonts w:ascii="Tahoma" w:hAnsi="Tahoma" w:cs="Tahoma"/>
          <w:sz w:val="24"/>
          <w:szCs w:val="24"/>
        </w:rPr>
        <w:t>ultime en</w:t>
      </w:r>
      <w:r w:rsidRPr="000F61EE">
        <w:rPr>
          <w:rFonts w:ascii="Tahoma" w:hAnsi="Tahoma" w:cs="Tahoma"/>
          <w:sz w:val="24"/>
          <w:szCs w:val="24"/>
        </w:rPr>
        <w:t xml:space="preserve"> adoptant une résolution</w:t>
      </w:r>
      <w:r w:rsidR="006E48B6" w:rsidRPr="000F61EE">
        <w:rPr>
          <w:rFonts w:ascii="Tahoma" w:hAnsi="Tahoma" w:cs="Tahoma"/>
          <w:sz w:val="24"/>
          <w:szCs w:val="24"/>
        </w:rPr>
        <w:t xml:space="preserve"> finale </w:t>
      </w:r>
      <w:r w:rsidRPr="000F61EE">
        <w:rPr>
          <w:rFonts w:ascii="Tahoma" w:hAnsi="Tahoma" w:cs="Tahoma"/>
          <w:sz w:val="24"/>
          <w:szCs w:val="24"/>
        </w:rPr>
        <w:t>qui clôt la surveillance lorsque toutes les mesures requises ont été prises par l’Etat</w:t>
      </w:r>
      <w:r w:rsidR="006441A0" w:rsidRPr="000F61EE">
        <w:rPr>
          <w:rFonts w:ascii="Tahoma" w:hAnsi="Tahoma" w:cs="Tahoma"/>
          <w:sz w:val="24"/>
          <w:szCs w:val="24"/>
        </w:rPr>
        <w:t xml:space="preserve"> en cause</w:t>
      </w:r>
      <w:r w:rsidRPr="000F61EE">
        <w:rPr>
          <w:rFonts w:ascii="Tahoma" w:hAnsi="Tahoma" w:cs="Tahoma"/>
          <w:sz w:val="24"/>
          <w:szCs w:val="24"/>
        </w:rPr>
        <w:t xml:space="preserve">.  </w:t>
      </w:r>
    </w:p>
    <w:p w:rsidR="00782F07" w:rsidRPr="000F61EE" w:rsidRDefault="00173196" w:rsidP="00A92571">
      <w:pPr>
        <w:spacing w:line="360" w:lineRule="auto"/>
        <w:jc w:val="both"/>
        <w:rPr>
          <w:rFonts w:ascii="Tahoma" w:hAnsi="Tahoma" w:cs="Tahoma"/>
          <w:sz w:val="24"/>
          <w:szCs w:val="24"/>
        </w:rPr>
      </w:pPr>
      <w:r w:rsidRPr="000F61EE">
        <w:rPr>
          <w:rFonts w:ascii="Tahoma" w:hAnsi="Tahoma" w:cs="Tahoma"/>
          <w:sz w:val="24"/>
          <w:szCs w:val="24"/>
        </w:rPr>
        <w:t>La procédure de su</w:t>
      </w:r>
      <w:r w:rsidR="004735A8" w:rsidRPr="000F61EE">
        <w:rPr>
          <w:rFonts w:ascii="Tahoma" w:hAnsi="Tahoma" w:cs="Tahoma"/>
          <w:sz w:val="24"/>
          <w:szCs w:val="24"/>
        </w:rPr>
        <w:t>rveillance renforcée s’applique</w:t>
      </w:r>
      <w:r w:rsidRPr="000F61EE">
        <w:rPr>
          <w:rFonts w:ascii="Tahoma" w:hAnsi="Tahoma" w:cs="Tahoma"/>
          <w:sz w:val="24"/>
          <w:szCs w:val="24"/>
        </w:rPr>
        <w:t xml:space="preserve"> en application de critères prédéfinis, lorsque par exemple des mesures individuelles urgentes sont requises de la part de l’</w:t>
      </w:r>
      <w:r w:rsidR="00782F07" w:rsidRPr="000F61EE">
        <w:rPr>
          <w:rFonts w:ascii="Tahoma" w:hAnsi="Tahoma" w:cs="Tahoma"/>
          <w:sz w:val="24"/>
          <w:szCs w:val="24"/>
        </w:rPr>
        <w:t>Etat déf</w:t>
      </w:r>
      <w:r w:rsidRPr="000F61EE">
        <w:rPr>
          <w:rFonts w:ascii="Tahoma" w:hAnsi="Tahoma" w:cs="Tahoma"/>
          <w:sz w:val="24"/>
          <w:szCs w:val="24"/>
        </w:rPr>
        <w:t>endeur</w:t>
      </w:r>
      <w:r w:rsidR="00782F07" w:rsidRPr="000F61EE">
        <w:rPr>
          <w:rFonts w:ascii="Tahoma" w:hAnsi="Tahoma" w:cs="Tahoma"/>
          <w:sz w:val="24"/>
          <w:szCs w:val="24"/>
        </w:rPr>
        <w:t xml:space="preserve"> ou parce que l’exécution pose des problèmes complexes. </w:t>
      </w:r>
      <w:r w:rsidR="006A5D69" w:rsidRPr="000F61EE">
        <w:rPr>
          <w:rFonts w:ascii="Tahoma" w:hAnsi="Tahoma" w:cs="Tahoma"/>
          <w:sz w:val="24"/>
          <w:szCs w:val="24"/>
        </w:rPr>
        <w:lastRenderedPageBreak/>
        <w:t>Les affaires inter</w:t>
      </w:r>
      <w:r w:rsidR="006356FF" w:rsidRPr="000F61EE">
        <w:rPr>
          <w:rFonts w:ascii="Tahoma" w:hAnsi="Tahoma" w:cs="Tahoma"/>
          <w:sz w:val="24"/>
          <w:szCs w:val="24"/>
        </w:rPr>
        <w:t xml:space="preserve">étatiques sont systématiquement classifiées en procédure renforcée en raison de leur nature toute particulière. </w:t>
      </w:r>
      <w:r w:rsidR="00782F07" w:rsidRPr="000F61EE">
        <w:rPr>
          <w:rFonts w:ascii="Tahoma" w:hAnsi="Tahoma" w:cs="Tahoma"/>
          <w:sz w:val="24"/>
          <w:szCs w:val="24"/>
        </w:rPr>
        <w:t>La classification en procédure soutenue n’est pas toujours facilement acceptée par les Etats défendeurs et en cas de désaccord sur la classification à suivre, il peut arriver que le Comité soit appelé à se prononcer par un vote (à la majorité simple</w:t>
      </w:r>
      <w:r w:rsidR="00D005AE" w:rsidRPr="000F61EE">
        <w:rPr>
          <w:rFonts w:ascii="Tahoma" w:hAnsi="Tahoma" w:cs="Tahoma"/>
          <w:sz w:val="24"/>
          <w:szCs w:val="24"/>
        </w:rPr>
        <w:t> : soit la moitié + une des 47 délégations, c’est-à-dire 24 voix</w:t>
      </w:r>
      <w:r w:rsidR="00782F07" w:rsidRPr="000F61EE">
        <w:rPr>
          <w:rFonts w:ascii="Tahoma" w:hAnsi="Tahoma" w:cs="Tahoma"/>
          <w:sz w:val="24"/>
          <w:szCs w:val="24"/>
        </w:rPr>
        <w:t xml:space="preserve">). </w:t>
      </w:r>
    </w:p>
    <w:p w:rsidR="00B475BB" w:rsidRPr="000F61EE" w:rsidRDefault="00782F07" w:rsidP="00A92571">
      <w:pPr>
        <w:spacing w:line="360" w:lineRule="auto"/>
        <w:jc w:val="both"/>
        <w:rPr>
          <w:rFonts w:ascii="Tahoma" w:hAnsi="Tahoma" w:cs="Tahoma"/>
          <w:sz w:val="24"/>
          <w:szCs w:val="24"/>
        </w:rPr>
      </w:pPr>
      <w:r w:rsidRPr="000F61EE">
        <w:rPr>
          <w:rFonts w:ascii="Tahoma" w:hAnsi="Tahoma" w:cs="Tahoma"/>
          <w:sz w:val="24"/>
          <w:szCs w:val="24"/>
        </w:rPr>
        <w:t xml:space="preserve">Un point important à noter est que la classification retenue au départ peut évoluer au cours du processus d’exécution, à nouveau selon des règles précisément définies. Ainsi le Comité peut décider de transférer une affaire de la procédure standard en procédure soutenue s’il apparaît que des difficultés particulières d’exécution se posent, en particulier du fait de retards </w:t>
      </w:r>
      <w:r w:rsidR="006356FF" w:rsidRPr="000F61EE">
        <w:rPr>
          <w:rFonts w:ascii="Tahoma" w:hAnsi="Tahoma" w:cs="Tahoma"/>
          <w:sz w:val="24"/>
          <w:szCs w:val="24"/>
        </w:rPr>
        <w:t xml:space="preserve">dans l’exécution </w:t>
      </w:r>
      <w:r w:rsidRPr="000F61EE">
        <w:rPr>
          <w:rFonts w:ascii="Tahoma" w:hAnsi="Tahoma" w:cs="Tahoma"/>
          <w:sz w:val="24"/>
          <w:szCs w:val="24"/>
        </w:rPr>
        <w:t>de la part de l’Eta</w:t>
      </w:r>
      <w:r w:rsidR="00B475BB" w:rsidRPr="000F61EE">
        <w:rPr>
          <w:rFonts w:ascii="Tahoma" w:hAnsi="Tahoma" w:cs="Tahoma"/>
          <w:sz w:val="24"/>
          <w:szCs w:val="24"/>
        </w:rPr>
        <w:t>t défendeur. Inversement, une affa</w:t>
      </w:r>
      <w:r w:rsidRPr="000F61EE">
        <w:rPr>
          <w:rFonts w:ascii="Tahoma" w:hAnsi="Tahoma" w:cs="Tahoma"/>
          <w:sz w:val="24"/>
          <w:szCs w:val="24"/>
        </w:rPr>
        <w:t xml:space="preserve">ire peut être transférée de procédure soutenue en procédure </w:t>
      </w:r>
      <w:r w:rsidR="00B475BB" w:rsidRPr="000F61EE">
        <w:rPr>
          <w:rFonts w:ascii="Tahoma" w:hAnsi="Tahoma" w:cs="Tahoma"/>
          <w:sz w:val="24"/>
          <w:szCs w:val="24"/>
        </w:rPr>
        <w:t>s</w:t>
      </w:r>
      <w:r w:rsidRPr="000F61EE">
        <w:rPr>
          <w:rFonts w:ascii="Tahoma" w:hAnsi="Tahoma" w:cs="Tahoma"/>
          <w:sz w:val="24"/>
          <w:szCs w:val="24"/>
        </w:rPr>
        <w:t xml:space="preserve">tandard si le processus d’exécution progresse d’une manière telle qu’il ne requiert plus de suivi </w:t>
      </w:r>
      <w:r w:rsidR="00B475BB" w:rsidRPr="000F61EE">
        <w:rPr>
          <w:rFonts w:ascii="Tahoma" w:hAnsi="Tahoma" w:cs="Tahoma"/>
          <w:sz w:val="24"/>
          <w:szCs w:val="24"/>
        </w:rPr>
        <w:t>plus étroit par le Comité des Ministres.</w:t>
      </w:r>
    </w:p>
    <w:p w:rsidR="009113AF" w:rsidRPr="000F61EE" w:rsidRDefault="00B475BB" w:rsidP="00A92571">
      <w:pPr>
        <w:spacing w:line="360" w:lineRule="auto"/>
        <w:jc w:val="both"/>
        <w:rPr>
          <w:rFonts w:ascii="Tahoma" w:hAnsi="Tahoma" w:cs="Tahoma"/>
          <w:sz w:val="24"/>
          <w:szCs w:val="24"/>
        </w:rPr>
      </w:pPr>
      <w:r w:rsidRPr="000F61EE">
        <w:rPr>
          <w:rFonts w:ascii="Tahoma" w:hAnsi="Tahoma" w:cs="Tahoma"/>
          <w:sz w:val="24"/>
          <w:szCs w:val="24"/>
        </w:rPr>
        <w:t xml:space="preserve">Pour toutes </w:t>
      </w:r>
      <w:r w:rsidR="00B46839" w:rsidRPr="000F61EE">
        <w:rPr>
          <w:rFonts w:ascii="Tahoma" w:hAnsi="Tahoma" w:cs="Tahoma"/>
          <w:sz w:val="24"/>
          <w:szCs w:val="24"/>
        </w:rPr>
        <w:t xml:space="preserve">les </w:t>
      </w:r>
      <w:r w:rsidRPr="000F61EE">
        <w:rPr>
          <w:rFonts w:ascii="Tahoma" w:hAnsi="Tahoma" w:cs="Tahoma"/>
          <w:sz w:val="24"/>
          <w:szCs w:val="24"/>
        </w:rPr>
        <w:t>affaires, en procédure standard ou soutenue, il est attendu des Etat</w:t>
      </w:r>
      <w:r w:rsidR="00F8138E">
        <w:rPr>
          <w:rFonts w:ascii="Tahoma" w:hAnsi="Tahoma" w:cs="Tahoma"/>
          <w:sz w:val="24"/>
          <w:szCs w:val="24"/>
        </w:rPr>
        <w:t xml:space="preserve">s concernés qu’ils soumettent le plan ou </w:t>
      </w:r>
      <w:r w:rsidRPr="000F61EE">
        <w:rPr>
          <w:rFonts w:ascii="Tahoma" w:hAnsi="Tahoma" w:cs="Tahoma"/>
          <w:sz w:val="24"/>
          <w:szCs w:val="24"/>
        </w:rPr>
        <w:t xml:space="preserve">bilan d’action </w:t>
      </w:r>
      <w:r w:rsidR="00F8138E">
        <w:rPr>
          <w:rFonts w:ascii="Tahoma" w:hAnsi="Tahoma" w:cs="Tahoma"/>
          <w:sz w:val="24"/>
          <w:szCs w:val="24"/>
        </w:rPr>
        <w:t xml:space="preserve">requis dans un délai de 6 mois après que l’arrêt soit devenu définitif. Le plan ou bilan d’action doit indiquer les mesures que l’Etat concerné entend prendre ou qu’il a </w:t>
      </w:r>
      <w:r w:rsidRPr="000F61EE">
        <w:rPr>
          <w:rFonts w:ascii="Tahoma" w:hAnsi="Tahoma" w:cs="Tahoma"/>
          <w:sz w:val="24"/>
          <w:szCs w:val="24"/>
        </w:rPr>
        <w:t>p</w:t>
      </w:r>
      <w:r w:rsidR="009113AF" w:rsidRPr="000F61EE">
        <w:rPr>
          <w:rFonts w:ascii="Tahoma" w:hAnsi="Tahoma" w:cs="Tahoma"/>
          <w:sz w:val="24"/>
          <w:szCs w:val="24"/>
        </w:rPr>
        <w:t>r</w:t>
      </w:r>
      <w:r w:rsidRPr="000F61EE">
        <w:rPr>
          <w:rFonts w:ascii="Tahoma" w:hAnsi="Tahoma" w:cs="Tahoma"/>
          <w:sz w:val="24"/>
          <w:szCs w:val="24"/>
        </w:rPr>
        <w:t>ises pour pourvoir à l’exécution de tel ou tel arrêt. Ce plan ou bila</w:t>
      </w:r>
      <w:r w:rsidR="009113AF" w:rsidRPr="000F61EE">
        <w:rPr>
          <w:rFonts w:ascii="Tahoma" w:hAnsi="Tahoma" w:cs="Tahoma"/>
          <w:sz w:val="24"/>
          <w:szCs w:val="24"/>
        </w:rPr>
        <w:t>n</w:t>
      </w:r>
      <w:r w:rsidRPr="000F61EE">
        <w:rPr>
          <w:rFonts w:ascii="Tahoma" w:hAnsi="Tahoma" w:cs="Tahoma"/>
          <w:sz w:val="24"/>
          <w:szCs w:val="24"/>
        </w:rPr>
        <w:t xml:space="preserve"> d’action, diffusé à to</w:t>
      </w:r>
      <w:r w:rsidR="009113AF" w:rsidRPr="000F61EE">
        <w:rPr>
          <w:rFonts w:ascii="Tahoma" w:hAnsi="Tahoma" w:cs="Tahoma"/>
          <w:sz w:val="24"/>
          <w:szCs w:val="24"/>
        </w:rPr>
        <w:t>utes les délégations, est analy</w:t>
      </w:r>
      <w:r w:rsidRPr="000F61EE">
        <w:rPr>
          <w:rFonts w:ascii="Tahoma" w:hAnsi="Tahoma" w:cs="Tahoma"/>
          <w:sz w:val="24"/>
          <w:szCs w:val="24"/>
        </w:rPr>
        <w:t>sé par le secrétariat qui au besoin entreprend un dialogue avec l’Etat concerné pou</w:t>
      </w:r>
      <w:r w:rsidR="009113AF" w:rsidRPr="000F61EE">
        <w:rPr>
          <w:rFonts w:ascii="Tahoma" w:hAnsi="Tahoma" w:cs="Tahoma"/>
          <w:sz w:val="24"/>
          <w:szCs w:val="24"/>
        </w:rPr>
        <w:t>r obtenir des clarifications su</w:t>
      </w:r>
      <w:r w:rsidRPr="000F61EE">
        <w:rPr>
          <w:rFonts w:ascii="Tahoma" w:hAnsi="Tahoma" w:cs="Tahoma"/>
          <w:sz w:val="24"/>
          <w:szCs w:val="24"/>
        </w:rPr>
        <w:t>r les mesures indiquées ou suggérer des aménagements.</w:t>
      </w:r>
      <w:r w:rsidR="00F8138E">
        <w:rPr>
          <w:rFonts w:ascii="Tahoma" w:hAnsi="Tahoma" w:cs="Tahoma"/>
          <w:sz w:val="24"/>
          <w:szCs w:val="24"/>
        </w:rPr>
        <w:t xml:space="preserve"> Vu la nature public du document, la société civile peut intervenir dans ce dialogue et de fait intervient souvent. J’</w:t>
      </w:r>
      <w:r w:rsidR="00E65B8E">
        <w:rPr>
          <w:rFonts w:ascii="Tahoma" w:hAnsi="Tahoma" w:cs="Tahoma"/>
          <w:sz w:val="24"/>
          <w:szCs w:val="24"/>
        </w:rPr>
        <w:t xml:space="preserve">y </w:t>
      </w:r>
      <w:r w:rsidR="00F8138E">
        <w:rPr>
          <w:rFonts w:ascii="Tahoma" w:hAnsi="Tahoma" w:cs="Tahoma"/>
          <w:sz w:val="24"/>
          <w:szCs w:val="24"/>
        </w:rPr>
        <w:t>reviendrai</w:t>
      </w:r>
    </w:p>
    <w:p w:rsidR="008017BE" w:rsidRPr="000F61EE" w:rsidRDefault="009113AF" w:rsidP="00A92571">
      <w:pPr>
        <w:spacing w:line="360" w:lineRule="auto"/>
        <w:jc w:val="both"/>
        <w:rPr>
          <w:rFonts w:ascii="Tahoma" w:hAnsi="Tahoma" w:cs="Tahoma"/>
          <w:sz w:val="24"/>
          <w:szCs w:val="24"/>
        </w:rPr>
      </w:pPr>
      <w:r w:rsidRPr="000F61EE">
        <w:rPr>
          <w:rFonts w:ascii="Tahoma" w:hAnsi="Tahoma" w:cs="Tahoma"/>
          <w:sz w:val="24"/>
          <w:szCs w:val="24"/>
        </w:rPr>
        <w:t>Un</w:t>
      </w:r>
      <w:r w:rsidR="00F91319" w:rsidRPr="000F61EE">
        <w:rPr>
          <w:rFonts w:ascii="Tahoma" w:hAnsi="Tahoma" w:cs="Tahoma"/>
          <w:sz w:val="24"/>
          <w:szCs w:val="24"/>
        </w:rPr>
        <w:t xml:space="preserve"> principe </w:t>
      </w:r>
      <w:r w:rsidRPr="000F61EE">
        <w:rPr>
          <w:rFonts w:ascii="Tahoma" w:hAnsi="Tahoma" w:cs="Tahoma"/>
          <w:sz w:val="24"/>
          <w:szCs w:val="24"/>
        </w:rPr>
        <w:t xml:space="preserve">important </w:t>
      </w:r>
      <w:r w:rsidR="00F91319" w:rsidRPr="000F61EE">
        <w:rPr>
          <w:rFonts w:ascii="Tahoma" w:hAnsi="Tahoma" w:cs="Tahoma"/>
          <w:sz w:val="24"/>
          <w:szCs w:val="24"/>
        </w:rPr>
        <w:t>est que toutes les affaires dont l’exécution est pendante devant le Comité des Ministres sont inscrites à l’ordre du jour du Comité des Ministres. Cela signifie qu’un Etat Partie</w:t>
      </w:r>
      <w:r w:rsidR="0039266E" w:rsidRPr="000F61EE">
        <w:rPr>
          <w:rFonts w:ascii="Tahoma" w:hAnsi="Tahoma" w:cs="Tahoma"/>
          <w:sz w:val="24"/>
          <w:szCs w:val="24"/>
        </w:rPr>
        <w:t>, la Présidence ou le Secrétariat peuvent à tout moment demander que l’état d’exécution d’</w:t>
      </w:r>
      <w:r w:rsidRPr="000F61EE">
        <w:rPr>
          <w:rFonts w:ascii="Tahoma" w:hAnsi="Tahoma" w:cs="Tahoma"/>
          <w:sz w:val="24"/>
          <w:szCs w:val="24"/>
        </w:rPr>
        <w:t>une affaire soit discuté</w:t>
      </w:r>
      <w:r w:rsidR="0039266E" w:rsidRPr="000F61EE">
        <w:rPr>
          <w:rFonts w:ascii="Tahoma" w:hAnsi="Tahoma" w:cs="Tahoma"/>
          <w:sz w:val="24"/>
          <w:szCs w:val="24"/>
        </w:rPr>
        <w:t xml:space="preserve"> par les Délégués des Ministres. </w:t>
      </w:r>
    </w:p>
    <w:p w:rsidR="00E65B8E" w:rsidRDefault="00E65B8E">
      <w:pPr>
        <w:rPr>
          <w:rFonts w:ascii="Tahoma" w:hAnsi="Tahoma" w:cs="Tahoma"/>
          <w:sz w:val="24"/>
          <w:szCs w:val="24"/>
        </w:rPr>
      </w:pPr>
      <w:r>
        <w:rPr>
          <w:rFonts w:ascii="Tahoma" w:hAnsi="Tahoma" w:cs="Tahoma"/>
          <w:sz w:val="24"/>
          <w:szCs w:val="24"/>
        </w:rPr>
        <w:br w:type="page"/>
      </w:r>
    </w:p>
    <w:p w:rsidR="004A13A3" w:rsidRPr="000F61EE" w:rsidRDefault="0039266E" w:rsidP="00A92571">
      <w:pPr>
        <w:spacing w:line="360" w:lineRule="auto"/>
        <w:jc w:val="both"/>
        <w:rPr>
          <w:rFonts w:ascii="Tahoma" w:hAnsi="Tahoma" w:cs="Tahoma"/>
          <w:sz w:val="24"/>
          <w:szCs w:val="24"/>
        </w:rPr>
      </w:pPr>
      <w:r w:rsidRPr="000F61EE">
        <w:rPr>
          <w:rFonts w:ascii="Tahoma" w:hAnsi="Tahoma" w:cs="Tahoma"/>
          <w:sz w:val="24"/>
          <w:szCs w:val="24"/>
        </w:rPr>
        <w:lastRenderedPageBreak/>
        <w:t>Pour chaque réunion Droits de l’Homme est établi par la Présidence, avec l’aide du Secrétariat</w:t>
      </w:r>
      <w:r w:rsidR="008D0187" w:rsidRPr="000F61EE">
        <w:rPr>
          <w:rFonts w:ascii="Tahoma" w:hAnsi="Tahoma" w:cs="Tahoma"/>
          <w:sz w:val="24"/>
          <w:szCs w:val="24"/>
        </w:rPr>
        <w:t>, ce qu’on appelle un projet d’O</w:t>
      </w:r>
      <w:r w:rsidRPr="000F61EE">
        <w:rPr>
          <w:rFonts w:ascii="Tahoma" w:hAnsi="Tahoma" w:cs="Tahoma"/>
          <w:sz w:val="24"/>
          <w:szCs w:val="24"/>
        </w:rPr>
        <w:t xml:space="preserve">rdre des Travaux. Ce projet d’ordre des travaux liste les affaires que la Présidence propose d’aborder selon 2 catégories : d’une part les affaires sans débat, le Comité se limitant alors à adopter des projets de décisions préparés à l’avance par le Secrétariat, ce qui n’exclut pas que les délégations puissent soumettre des projets d’amendements. </w:t>
      </w:r>
    </w:p>
    <w:p w:rsidR="005E6435" w:rsidRPr="000F61EE" w:rsidRDefault="0039266E" w:rsidP="00A92571">
      <w:pPr>
        <w:spacing w:line="360" w:lineRule="auto"/>
        <w:jc w:val="both"/>
        <w:rPr>
          <w:rFonts w:ascii="Tahoma" w:hAnsi="Tahoma" w:cs="Tahoma"/>
          <w:sz w:val="24"/>
          <w:szCs w:val="24"/>
        </w:rPr>
      </w:pPr>
      <w:r w:rsidRPr="000F61EE">
        <w:rPr>
          <w:rFonts w:ascii="Tahoma" w:hAnsi="Tahoma" w:cs="Tahoma"/>
          <w:sz w:val="24"/>
          <w:szCs w:val="24"/>
        </w:rPr>
        <w:t>La seconde catégorie, la plus importante, concerne les affaires proposées pour débat, qui sont soit des affaires posant des problèmes particuliers d’exécution et pour lesquelles des orientations sont attendues du Comité, sous la forme de décision</w:t>
      </w:r>
      <w:r w:rsidR="00B475BB" w:rsidRPr="000F61EE">
        <w:rPr>
          <w:rFonts w:ascii="Tahoma" w:hAnsi="Tahoma" w:cs="Tahoma"/>
          <w:sz w:val="24"/>
          <w:szCs w:val="24"/>
        </w:rPr>
        <w:t>s</w:t>
      </w:r>
      <w:r w:rsidRPr="000F61EE">
        <w:rPr>
          <w:rFonts w:ascii="Tahoma" w:hAnsi="Tahoma" w:cs="Tahoma"/>
          <w:sz w:val="24"/>
          <w:szCs w:val="24"/>
        </w:rPr>
        <w:t xml:space="preserve">, soit des affaires </w:t>
      </w:r>
      <w:r w:rsidR="005E6435" w:rsidRPr="000F61EE">
        <w:rPr>
          <w:rFonts w:ascii="Tahoma" w:hAnsi="Tahoma" w:cs="Tahoma"/>
          <w:sz w:val="24"/>
          <w:szCs w:val="24"/>
        </w:rPr>
        <w:t>importantes pour lesquelles il</w:t>
      </w:r>
      <w:r w:rsidR="00B475BB" w:rsidRPr="000F61EE">
        <w:rPr>
          <w:rFonts w:ascii="Tahoma" w:hAnsi="Tahoma" w:cs="Tahoma"/>
          <w:sz w:val="24"/>
          <w:szCs w:val="24"/>
        </w:rPr>
        <w:t xml:space="preserve"> est proposé aux D</w:t>
      </w:r>
      <w:r w:rsidR="005E6435" w:rsidRPr="000F61EE">
        <w:rPr>
          <w:rFonts w:ascii="Tahoma" w:hAnsi="Tahoma" w:cs="Tahoma"/>
          <w:sz w:val="24"/>
          <w:szCs w:val="24"/>
        </w:rPr>
        <w:t>élégués de clore le processus de surveillance de l’exécution.</w:t>
      </w:r>
      <w:r w:rsidR="006356FF" w:rsidRPr="000F61EE">
        <w:rPr>
          <w:rFonts w:ascii="Tahoma" w:hAnsi="Tahoma" w:cs="Tahoma"/>
          <w:sz w:val="24"/>
          <w:szCs w:val="24"/>
        </w:rPr>
        <w:t xml:space="preserve"> En moyenne, douze à quinze affaires sont débattues par réunion. </w:t>
      </w:r>
    </w:p>
    <w:p w:rsidR="005E6435" w:rsidRPr="000F61EE" w:rsidRDefault="005E6435" w:rsidP="00A92571">
      <w:pPr>
        <w:spacing w:line="360" w:lineRule="auto"/>
        <w:jc w:val="both"/>
        <w:rPr>
          <w:rFonts w:ascii="Tahoma" w:hAnsi="Tahoma" w:cs="Tahoma"/>
          <w:sz w:val="24"/>
          <w:szCs w:val="24"/>
        </w:rPr>
      </w:pPr>
      <w:r w:rsidRPr="000F61EE">
        <w:rPr>
          <w:rFonts w:ascii="Tahoma" w:hAnsi="Tahoma" w:cs="Tahoma"/>
          <w:sz w:val="24"/>
          <w:szCs w:val="24"/>
        </w:rPr>
        <w:t>La proposition de la présidence de prendre des affaires avec ou sans débat est soumise à l’</w:t>
      </w:r>
      <w:r w:rsidR="008017BE" w:rsidRPr="000F61EE">
        <w:rPr>
          <w:rFonts w:ascii="Tahoma" w:hAnsi="Tahoma" w:cs="Tahoma"/>
          <w:sz w:val="24"/>
          <w:szCs w:val="24"/>
        </w:rPr>
        <w:t>approbation du</w:t>
      </w:r>
      <w:r w:rsidRPr="000F61EE">
        <w:rPr>
          <w:rFonts w:ascii="Tahoma" w:hAnsi="Tahoma" w:cs="Tahoma"/>
          <w:sz w:val="24"/>
          <w:szCs w:val="24"/>
        </w:rPr>
        <w:t xml:space="preserve"> Comité au début de chaque réunion. </w:t>
      </w:r>
      <w:r w:rsidR="000825DB" w:rsidRPr="000F61EE">
        <w:rPr>
          <w:rFonts w:ascii="Tahoma" w:hAnsi="Tahoma" w:cs="Tahoma"/>
          <w:sz w:val="24"/>
          <w:szCs w:val="24"/>
        </w:rPr>
        <w:t xml:space="preserve">Cette question fait bien évidemment l’objet d’une attention toute particulière des Etats, certains étant </w:t>
      </w:r>
      <w:r w:rsidR="008D0187" w:rsidRPr="000F61EE">
        <w:rPr>
          <w:rFonts w:ascii="Tahoma" w:hAnsi="Tahoma" w:cs="Tahoma"/>
          <w:sz w:val="24"/>
          <w:szCs w:val="24"/>
        </w:rPr>
        <w:t xml:space="preserve">notamment </w:t>
      </w:r>
      <w:r w:rsidR="000825DB" w:rsidRPr="000F61EE">
        <w:rPr>
          <w:rFonts w:ascii="Tahoma" w:hAnsi="Tahoma" w:cs="Tahoma"/>
          <w:sz w:val="24"/>
          <w:szCs w:val="24"/>
        </w:rPr>
        <w:t xml:space="preserve">attentifs à ce qu’une certaine répartition géographique existe entre les affaires à l’examen. A l’occasion, la proposition de la présidence </w:t>
      </w:r>
      <w:r w:rsidRPr="000F61EE">
        <w:rPr>
          <w:rFonts w:ascii="Tahoma" w:hAnsi="Tahoma" w:cs="Tahoma"/>
          <w:sz w:val="24"/>
          <w:szCs w:val="24"/>
        </w:rPr>
        <w:t>peut être conte</w:t>
      </w:r>
      <w:r w:rsidR="000825DB" w:rsidRPr="000F61EE">
        <w:rPr>
          <w:rFonts w:ascii="Tahoma" w:hAnsi="Tahoma" w:cs="Tahoma"/>
          <w:sz w:val="24"/>
          <w:szCs w:val="24"/>
        </w:rPr>
        <w:t>stée</w:t>
      </w:r>
      <w:r w:rsidRPr="000F61EE">
        <w:rPr>
          <w:rFonts w:ascii="Tahoma" w:hAnsi="Tahoma" w:cs="Tahoma"/>
          <w:sz w:val="24"/>
          <w:szCs w:val="24"/>
        </w:rPr>
        <w:t>, par exemple lorsqu’un Etat estime qu’une affaire proposée sans débat est d’une importance telle qu’elle devrait être discutée, auquel cas c’est au Comité qu’il appartient de décider. Cela se fait normalement par consensus mais il peut arriver que le Comité soit appelé</w:t>
      </w:r>
      <w:r w:rsidR="004735A8" w:rsidRPr="000F61EE">
        <w:rPr>
          <w:rFonts w:ascii="Tahoma" w:hAnsi="Tahoma" w:cs="Tahoma"/>
          <w:sz w:val="24"/>
          <w:szCs w:val="24"/>
        </w:rPr>
        <w:t xml:space="preserve"> à voter</w:t>
      </w:r>
      <w:r w:rsidRPr="000F61EE">
        <w:rPr>
          <w:rFonts w:ascii="Tahoma" w:hAnsi="Tahoma" w:cs="Tahoma"/>
          <w:sz w:val="24"/>
          <w:szCs w:val="24"/>
        </w:rPr>
        <w:t xml:space="preserve">. </w:t>
      </w:r>
    </w:p>
    <w:p w:rsidR="00E65B8E" w:rsidRDefault="00B46839" w:rsidP="00A92571">
      <w:pPr>
        <w:spacing w:line="360" w:lineRule="auto"/>
        <w:jc w:val="both"/>
        <w:rPr>
          <w:rFonts w:ascii="Tahoma" w:hAnsi="Tahoma" w:cs="Tahoma"/>
          <w:sz w:val="24"/>
          <w:szCs w:val="24"/>
        </w:rPr>
      </w:pPr>
      <w:r w:rsidRPr="000F61EE">
        <w:rPr>
          <w:rFonts w:ascii="Tahoma" w:hAnsi="Tahoma" w:cs="Tahoma"/>
          <w:sz w:val="24"/>
          <w:szCs w:val="24"/>
        </w:rPr>
        <w:t xml:space="preserve">Les affaires sont discutées sur la base des plans et bilans d’action présentés par les Etats parties et de l’analyse qui en est faite par le Secrétariat. </w:t>
      </w:r>
      <w:r w:rsidR="00E65B8E">
        <w:rPr>
          <w:rFonts w:ascii="Tahoma" w:hAnsi="Tahoma" w:cs="Tahoma"/>
          <w:sz w:val="24"/>
          <w:szCs w:val="24"/>
        </w:rPr>
        <w:t>L’analyse du</w:t>
      </w:r>
      <w:r w:rsidR="006441A0" w:rsidRPr="000F61EE">
        <w:rPr>
          <w:rFonts w:ascii="Tahoma" w:hAnsi="Tahoma" w:cs="Tahoma"/>
          <w:sz w:val="24"/>
          <w:szCs w:val="24"/>
        </w:rPr>
        <w:t xml:space="preserve"> S</w:t>
      </w:r>
      <w:r w:rsidR="001E016B" w:rsidRPr="000F61EE">
        <w:rPr>
          <w:rFonts w:ascii="Tahoma" w:hAnsi="Tahoma" w:cs="Tahoma"/>
          <w:sz w:val="24"/>
          <w:szCs w:val="24"/>
        </w:rPr>
        <w:t xml:space="preserve">ecrétariat </w:t>
      </w:r>
      <w:r w:rsidR="00E65B8E">
        <w:rPr>
          <w:rFonts w:ascii="Tahoma" w:hAnsi="Tahoma" w:cs="Tahoma"/>
          <w:sz w:val="24"/>
          <w:szCs w:val="24"/>
        </w:rPr>
        <w:t xml:space="preserve">et l’examen de l’avancement du processus d’exécution par le Comité des Ministres </w:t>
      </w:r>
      <w:r w:rsidR="001E016B" w:rsidRPr="000F61EE">
        <w:rPr>
          <w:rFonts w:ascii="Tahoma" w:hAnsi="Tahoma" w:cs="Tahoma"/>
          <w:sz w:val="24"/>
          <w:szCs w:val="24"/>
        </w:rPr>
        <w:t>s’appuie</w:t>
      </w:r>
      <w:r w:rsidR="00E65B8E">
        <w:rPr>
          <w:rFonts w:ascii="Tahoma" w:hAnsi="Tahoma" w:cs="Tahoma"/>
          <w:sz w:val="24"/>
          <w:szCs w:val="24"/>
        </w:rPr>
        <w:t>nt</w:t>
      </w:r>
      <w:r w:rsidR="001E016B" w:rsidRPr="000F61EE">
        <w:rPr>
          <w:rFonts w:ascii="Tahoma" w:hAnsi="Tahoma" w:cs="Tahoma"/>
          <w:sz w:val="24"/>
          <w:szCs w:val="24"/>
        </w:rPr>
        <w:t xml:space="preserve"> aussi sur les co</w:t>
      </w:r>
      <w:r w:rsidR="00E65B8E">
        <w:rPr>
          <w:rFonts w:ascii="Tahoma" w:hAnsi="Tahoma" w:cs="Tahoma"/>
          <w:sz w:val="24"/>
          <w:szCs w:val="24"/>
        </w:rPr>
        <w:t>mmunications reçues</w:t>
      </w:r>
      <w:r w:rsidR="001E016B" w:rsidRPr="000F61EE">
        <w:rPr>
          <w:rFonts w:ascii="Tahoma" w:hAnsi="Tahoma" w:cs="Tahoma"/>
          <w:sz w:val="24"/>
          <w:szCs w:val="24"/>
        </w:rPr>
        <w:t xml:space="preserve"> des requérants ou de leurs représentants, ainsi que d’ONG ou d’OIG</w:t>
      </w:r>
      <w:r w:rsidR="00E65B8E">
        <w:rPr>
          <w:rFonts w:ascii="Tahoma" w:hAnsi="Tahoma" w:cs="Tahoma"/>
          <w:sz w:val="24"/>
          <w:szCs w:val="24"/>
        </w:rPr>
        <w:t>, comme par exemple le Haut-Commissariat des Nations unies pour les Réfugiés</w:t>
      </w:r>
      <w:r w:rsidR="001E016B" w:rsidRPr="000F61EE">
        <w:rPr>
          <w:rFonts w:ascii="Tahoma" w:hAnsi="Tahoma" w:cs="Tahoma"/>
          <w:sz w:val="24"/>
          <w:szCs w:val="24"/>
        </w:rPr>
        <w:t xml:space="preserve">. </w:t>
      </w:r>
    </w:p>
    <w:p w:rsidR="00E65B8E" w:rsidRDefault="00E65B8E">
      <w:pPr>
        <w:rPr>
          <w:rFonts w:ascii="Tahoma" w:hAnsi="Tahoma" w:cs="Tahoma"/>
          <w:sz w:val="24"/>
          <w:szCs w:val="24"/>
        </w:rPr>
      </w:pPr>
      <w:r>
        <w:rPr>
          <w:rFonts w:ascii="Tahoma" w:hAnsi="Tahoma" w:cs="Tahoma"/>
          <w:sz w:val="24"/>
          <w:szCs w:val="24"/>
        </w:rPr>
        <w:br w:type="page"/>
      </w:r>
    </w:p>
    <w:p w:rsidR="009113AF" w:rsidRPr="000F61EE" w:rsidRDefault="009113AF" w:rsidP="00A92571">
      <w:pPr>
        <w:spacing w:line="360" w:lineRule="auto"/>
        <w:jc w:val="both"/>
        <w:rPr>
          <w:rFonts w:ascii="Tahoma" w:hAnsi="Tahoma" w:cs="Tahoma"/>
          <w:sz w:val="24"/>
          <w:szCs w:val="24"/>
        </w:rPr>
      </w:pPr>
      <w:r w:rsidRPr="000F61EE">
        <w:rPr>
          <w:rFonts w:ascii="Tahoma" w:hAnsi="Tahoma" w:cs="Tahoma"/>
          <w:sz w:val="24"/>
          <w:szCs w:val="24"/>
        </w:rPr>
        <w:lastRenderedPageBreak/>
        <w:t>Toutes les affaires discutées conduisent à l’adoption de décisions. L’adoption se fait en règle générale par consensus mais il est arrivé de plus en plus souvent, au cours des années récentes, que le Comité des Ministres soit amené à voter en raison de divergences de vues sur les progrès accomplis dans l’exécution de certains arrêts et les mesures attendues des Etats défendeurs.</w:t>
      </w:r>
      <w:r w:rsidR="004735A8" w:rsidRPr="000F61EE">
        <w:rPr>
          <w:rFonts w:ascii="Tahoma" w:hAnsi="Tahoma" w:cs="Tahoma"/>
          <w:sz w:val="24"/>
          <w:szCs w:val="24"/>
        </w:rPr>
        <w:t xml:space="preserve"> Le vote intervient alors à la majorité </w:t>
      </w:r>
      <w:r w:rsidR="00165EE6" w:rsidRPr="000F61EE">
        <w:rPr>
          <w:rFonts w:ascii="Tahoma" w:hAnsi="Tahoma" w:cs="Tahoma"/>
          <w:sz w:val="24"/>
          <w:szCs w:val="24"/>
        </w:rPr>
        <w:t xml:space="preserve">qualifiée </w:t>
      </w:r>
      <w:r w:rsidR="004735A8" w:rsidRPr="000F61EE">
        <w:rPr>
          <w:rFonts w:ascii="Tahoma" w:hAnsi="Tahoma" w:cs="Tahoma"/>
          <w:sz w:val="24"/>
          <w:szCs w:val="24"/>
        </w:rPr>
        <w:t>des 2/3 (2/3 des délégations exprimant une voix, représentant au moi</w:t>
      </w:r>
      <w:r w:rsidR="00D005AE" w:rsidRPr="000F61EE">
        <w:rPr>
          <w:rFonts w:ascii="Tahoma" w:hAnsi="Tahoma" w:cs="Tahoma"/>
          <w:sz w:val="24"/>
          <w:szCs w:val="24"/>
        </w:rPr>
        <w:t>ns la moitié des délégations ay</w:t>
      </w:r>
      <w:r w:rsidR="004735A8" w:rsidRPr="000F61EE">
        <w:rPr>
          <w:rFonts w:ascii="Tahoma" w:hAnsi="Tahoma" w:cs="Tahoma"/>
          <w:sz w:val="24"/>
          <w:szCs w:val="24"/>
        </w:rPr>
        <w:t>ant le droit de siéger au Comité).</w:t>
      </w:r>
    </w:p>
    <w:p w:rsidR="009113AF" w:rsidRPr="000F61EE" w:rsidRDefault="009113AF" w:rsidP="00A92571">
      <w:pPr>
        <w:spacing w:line="360" w:lineRule="auto"/>
        <w:jc w:val="both"/>
        <w:rPr>
          <w:rFonts w:ascii="Tahoma" w:hAnsi="Tahoma" w:cs="Tahoma"/>
          <w:sz w:val="24"/>
          <w:szCs w:val="24"/>
        </w:rPr>
      </w:pPr>
      <w:r w:rsidRPr="000F61EE">
        <w:rPr>
          <w:rFonts w:ascii="Tahoma" w:hAnsi="Tahoma" w:cs="Tahoma"/>
          <w:sz w:val="24"/>
          <w:szCs w:val="24"/>
        </w:rPr>
        <w:t xml:space="preserve">Cela m’amène à évoquer maintenant certaines questions de fond touchant à l’exécution des arrêts. </w:t>
      </w:r>
    </w:p>
    <w:p w:rsidR="006A5D69" w:rsidRPr="000F61EE" w:rsidRDefault="00E75542" w:rsidP="00A92571">
      <w:pPr>
        <w:spacing w:line="360" w:lineRule="auto"/>
        <w:jc w:val="both"/>
        <w:rPr>
          <w:rFonts w:ascii="Tahoma" w:hAnsi="Tahoma" w:cs="Tahoma"/>
          <w:sz w:val="24"/>
          <w:szCs w:val="24"/>
        </w:rPr>
      </w:pPr>
      <w:r w:rsidRPr="000F61EE">
        <w:rPr>
          <w:rFonts w:ascii="Tahoma" w:hAnsi="Tahoma" w:cs="Tahoma"/>
          <w:sz w:val="24"/>
          <w:szCs w:val="24"/>
        </w:rPr>
        <w:t>Le processus d’exécution est en règle générale, et fort heureusement, mené à bien sans difficultés et dans un délai raisonnable. On doit souligner à cet égard, et saluer, l’esprit de coopérati</w:t>
      </w:r>
      <w:r w:rsidR="004100CB" w:rsidRPr="000F61EE">
        <w:rPr>
          <w:rFonts w:ascii="Tahoma" w:hAnsi="Tahoma" w:cs="Tahoma"/>
          <w:sz w:val="24"/>
          <w:szCs w:val="24"/>
        </w:rPr>
        <w:t xml:space="preserve">on manifesté par les Etats Parties à la Convention </w:t>
      </w:r>
      <w:r w:rsidR="004B44E4" w:rsidRPr="000F61EE">
        <w:rPr>
          <w:rFonts w:ascii="Tahoma" w:hAnsi="Tahoma" w:cs="Tahoma"/>
          <w:sz w:val="24"/>
          <w:szCs w:val="24"/>
        </w:rPr>
        <w:t>pour pourvoir à</w:t>
      </w:r>
      <w:r w:rsidRPr="000F61EE">
        <w:rPr>
          <w:rFonts w:ascii="Tahoma" w:hAnsi="Tahoma" w:cs="Tahoma"/>
          <w:sz w:val="24"/>
          <w:szCs w:val="24"/>
        </w:rPr>
        <w:t xml:space="preserve"> l’exécution des arrêts de la Cour, nonobstant les efforts et les investissements </w:t>
      </w:r>
      <w:r w:rsidR="002C7B37" w:rsidRPr="000F61EE">
        <w:rPr>
          <w:rFonts w:ascii="Tahoma" w:hAnsi="Tahoma" w:cs="Tahoma"/>
          <w:sz w:val="24"/>
          <w:szCs w:val="24"/>
        </w:rPr>
        <w:t xml:space="preserve">très </w:t>
      </w:r>
      <w:r w:rsidRPr="000F61EE">
        <w:rPr>
          <w:rFonts w:ascii="Tahoma" w:hAnsi="Tahoma" w:cs="Tahoma"/>
          <w:sz w:val="24"/>
          <w:szCs w:val="24"/>
        </w:rPr>
        <w:t>substantiels</w:t>
      </w:r>
      <w:r w:rsidR="002C7B37" w:rsidRPr="000F61EE">
        <w:rPr>
          <w:rFonts w:ascii="Tahoma" w:hAnsi="Tahoma" w:cs="Tahoma"/>
          <w:sz w:val="24"/>
          <w:szCs w:val="24"/>
        </w:rPr>
        <w:t>, et pas nécessairement populaires,</w:t>
      </w:r>
      <w:r w:rsidRPr="000F61EE">
        <w:rPr>
          <w:rFonts w:ascii="Tahoma" w:hAnsi="Tahoma" w:cs="Tahoma"/>
          <w:sz w:val="24"/>
          <w:szCs w:val="24"/>
        </w:rPr>
        <w:t xml:space="preserve"> que cela peut parfois requérir. Je ne voudrais pas omettre à ce propos les mesures importantes prises par l’Italie</w:t>
      </w:r>
      <w:r w:rsidR="00E65B8E">
        <w:rPr>
          <w:rFonts w:ascii="Tahoma" w:hAnsi="Tahoma" w:cs="Tahoma"/>
          <w:sz w:val="24"/>
          <w:szCs w:val="24"/>
        </w:rPr>
        <w:t xml:space="preserve"> </w:t>
      </w:r>
      <w:r w:rsidR="002C7B37" w:rsidRPr="000F61EE">
        <w:rPr>
          <w:rFonts w:ascii="Tahoma" w:hAnsi="Tahoma" w:cs="Tahoma"/>
          <w:sz w:val="24"/>
          <w:szCs w:val="24"/>
        </w:rPr>
        <w:t>à travers l’adoption de réformes d’envergure pour résoudre le problème de la surpopulation carcérale en Italie et améliorer les conditions matérielles de détention dans les prisons</w:t>
      </w:r>
      <w:r w:rsidR="00E65B8E">
        <w:rPr>
          <w:rFonts w:ascii="Tahoma" w:hAnsi="Tahoma" w:cs="Tahoma"/>
          <w:sz w:val="24"/>
          <w:szCs w:val="24"/>
        </w:rPr>
        <w:t xml:space="preserve"> suite à l’arrêt </w:t>
      </w:r>
      <w:proofErr w:type="spellStart"/>
      <w:r w:rsidR="00E65B8E">
        <w:rPr>
          <w:rFonts w:ascii="Tahoma" w:hAnsi="Tahoma" w:cs="Tahoma"/>
          <w:sz w:val="24"/>
          <w:szCs w:val="24"/>
        </w:rPr>
        <w:t>Sulejmanovic</w:t>
      </w:r>
      <w:proofErr w:type="spellEnd"/>
      <w:r w:rsidR="00E65B8E">
        <w:rPr>
          <w:rFonts w:ascii="Tahoma" w:hAnsi="Tahoma" w:cs="Tahoma"/>
          <w:sz w:val="24"/>
          <w:szCs w:val="24"/>
        </w:rPr>
        <w:t xml:space="preserve"> de 2009 et à l’arrêt pilote </w:t>
      </w:r>
      <w:proofErr w:type="spellStart"/>
      <w:r w:rsidR="00E65B8E">
        <w:rPr>
          <w:rFonts w:ascii="Tahoma" w:hAnsi="Tahoma" w:cs="Tahoma"/>
          <w:sz w:val="24"/>
          <w:szCs w:val="24"/>
        </w:rPr>
        <w:t>Torregiani</w:t>
      </w:r>
      <w:proofErr w:type="spellEnd"/>
      <w:r w:rsidR="00E65B8E">
        <w:rPr>
          <w:rFonts w:ascii="Tahoma" w:hAnsi="Tahoma" w:cs="Tahoma"/>
          <w:sz w:val="24"/>
          <w:szCs w:val="24"/>
        </w:rPr>
        <w:t xml:space="preserve"> en 2013</w:t>
      </w:r>
      <w:r w:rsidR="002C7B37" w:rsidRPr="000F61EE">
        <w:rPr>
          <w:rFonts w:ascii="Tahoma" w:hAnsi="Tahoma" w:cs="Tahoma"/>
          <w:sz w:val="24"/>
          <w:szCs w:val="24"/>
        </w:rPr>
        <w:t xml:space="preserve">. </w:t>
      </w:r>
    </w:p>
    <w:p w:rsidR="004100CB" w:rsidRPr="000F61EE" w:rsidRDefault="004B44E4" w:rsidP="00A92571">
      <w:pPr>
        <w:spacing w:line="360" w:lineRule="auto"/>
        <w:jc w:val="both"/>
        <w:rPr>
          <w:rFonts w:ascii="Tahoma" w:hAnsi="Tahoma" w:cs="Tahoma"/>
          <w:sz w:val="24"/>
          <w:szCs w:val="24"/>
        </w:rPr>
      </w:pPr>
      <w:r w:rsidRPr="000F61EE">
        <w:rPr>
          <w:rFonts w:ascii="Tahoma" w:hAnsi="Tahoma" w:cs="Tahoma"/>
          <w:sz w:val="24"/>
          <w:szCs w:val="24"/>
        </w:rPr>
        <w:t xml:space="preserve">Je </w:t>
      </w:r>
      <w:r w:rsidR="00E75542" w:rsidRPr="000F61EE">
        <w:rPr>
          <w:rFonts w:ascii="Tahoma" w:hAnsi="Tahoma" w:cs="Tahoma"/>
          <w:sz w:val="24"/>
          <w:szCs w:val="24"/>
        </w:rPr>
        <w:t>citer</w:t>
      </w:r>
      <w:r w:rsidRPr="000F61EE">
        <w:rPr>
          <w:rFonts w:ascii="Tahoma" w:hAnsi="Tahoma" w:cs="Tahoma"/>
          <w:sz w:val="24"/>
          <w:szCs w:val="24"/>
        </w:rPr>
        <w:t>ai</w:t>
      </w:r>
      <w:r w:rsidR="00D458CB" w:rsidRPr="000F61EE">
        <w:rPr>
          <w:rFonts w:ascii="Tahoma" w:hAnsi="Tahoma" w:cs="Tahoma"/>
          <w:sz w:val="24"/>
          <w:szCs w:val="24"/>
        </w:rPr>
        <w:t>,</w:t>
      </w:r>
      <w:r w:rsidR="00E75542" w:rsidRPr="000F61EE">
        <w:rPr>
          <w:rFonts w:ascii="Tahoma" w:hAnsi="Tahoma" w:cs="Tahoma"/>
          <w:sz w:val="24"/>
          <w:szCs w:val="24"/>
        </w:rPr>
        <w:t xml:space="preserve"> comme autre exemple</w:t>
      </w:r>
      <w:r w:rsidR="00D458CB" w:rsidRPr="000F61EE">
        <w:rPr>
          <w:rFonts w:ascii="Tahoma" w:hAnsi="Tahoma" w:cs="Tahoma"/>
          <w:sz w:val="24"/>
          <w:szCs w:val="24"/>
        </w:rPr>
        <w:t xml:space="preserve"> plus récent, les mesures prises par les aut</w:t>
      </w:r>
      <w:r w:rsidR="00E75542" w:rsidRPr="000F61EE">
        <w:rPr>
          <w:rFonts w:ascii="Tahoma" w:hAnsi="Tahoma" w:cs="Tahoma"/>
          <w:sz w:val="24"/>
          <w:szCs w:val="24"/>
        </w:rPr>
        <w:t xml:space="preserve">orités slovènes </w:t>
      </w:r>
      <w:r w:rsidR="00D458CB" w:rsidRPr="000F61EE">
        <w:rPr>
          <w:rFonts w:ascii="Tahoma" w:hAnsi="Tahoma" w:cs="Tahoma"/>
          <w:sz w:val="24"/>
          <w:szCs w:val="24"/>
        </w:rPr>
        <w:t xml:space="preserve">dans le cadre de l’affaire </w:t>
      </w:r>
      <w:proofErr w:type="spellStart"/>
      <w:r w:rsidR="00D458CB" w:rsidRPr="000F61EE">
        <w:rPr>
          <w:rFonts w:ascii="Tahoma" w:hAnsi="Tahoma" w:cs="Tahoma"/>
          <w:sz w:val="24"/>
          <w:szCs w:val="24"/>
        </w:rPr>
        <w:t>Alisic</w:t>
      </w:r>
      <w:proofErr w:type="spellEnd"/>
      <w:r w:rsidR="00193FBB" w:rsidRPr="000F61EE">
        <w:rPr>
          <w:rFonts w:ascii="Tahoma" w:hAnsi="Tahoma" w:cs="Tahoma"/>
          <w:sz w:val="24"/>
          <w:szCs w:val="24"/>
        </w:rPr>
        <w:t xml:space="preserve"> et autres pour rembourser d’anciens fonds d’épargne en devises qui avaient été déposés auprès de banques situées sur le territoire de la République socialiste fédérative de Yougoslavie avant sa dissolution, fonds perdus après l’effondrement de l’ex Yougoslavie et de son système bancaire. En l’espèce c’</w:t>
      </w:r>
      <w:r w:rsidR="004100CB" w:rsidRPr="000F61EE">
        <w:rPr>
          <w:rFonts w:ascii="Tahoma" w:hAnsi="Tahoma" w:cs="Tahoma"/>
          <w:sz w:val="24"/>
          <w:szCs w:val="24"/>
        </w:rPr>
        <w:t>est plu</w:t>
      </w:r>
      <w:r w:rsidR="00193FBB" w:rsidRPr="000F61EE">
        <w:rPr>
          <w:rFonts w:ascii="Tahoma" w:hAnsi="Tahoma" w:cs="Tahoma"/>
          <w:sz w:val="24"/>
          <w:szCs w:val="24"/>
        </w:rPr>
        <w:t>sieurs centaines de millions d’euros (224 à la fin de novembre 2017</w:t>
      </w:r>
      <w:r w:rsidR="004100CB" w:rsidRPr="000F61EE">
        <w:rPr>
          <w:rFonts w:ascii="Tahoma" w:hAnsi="Tahoma" w:cs="Tahoma"/>
          <w:sz w:val="24"/>
          <w:szCs w:val="24"/>
        </w:rPr>
        <w:t>, sur un total de 240 millions réclamés</w:t>
      </w:r>
      <w:r w:rsidR="00193FBB" w:rsidRPr="000F61EE">
        <w:rPr>
          <w:rFonts w:ascii="Tahoma" w:hAnsi="Tahoma" w:cs="Tahoma"/>
          <w:sz w:val="24"/>
          <w:szCs w:val="24"/>
        </w:rPr>
        <w:t>) que la Slovénie a versé aux éparg</w:t>
      </w:r>
      <w:r w:rsidR="004100CB" w:rsidRPr="000F61EE">
        <w:rPr>
          <w:rFonts w:ascii="Tahoma" w:hAnsi="Tahoma" w:cs="Tahoma"/>
          <w:sz w:val="24"/>
          <w:szCs w:val="24"/>
        </w:rPr>
        <w:t>n</w:t>
      </w:r>
      <w:r w:rsidR="00193FBB" w:rsidRPr="000F61EE">
        <w:rPr>
          <w:rFonts w:ascii="Tahoma" w:hAnsi="Tahoma" w:cs="Tahoma"/>
          <w:sz w:val="24"/>
          <w:szCs w:val="24"/>
        </w:rPr>
        <w:t>ants éligibles</w:t>
      </w:r>
      <w:r w:rsidR="004100CB" w:rsidRPr="000F61EE">
        <w:rPr>
          <w:rFonts w:ascii="Tahoma" w:hAnsi="Tahoma" w:cs="Tahoma"/>
          <w:sz w:val="24"/>
          <w:szCs w:val="24"/>
        </w:rPr>
        <w:t xml:space="preserve">. Ces mesures </w:t>
      </w:r>
      <w:r w:rsidR="00D005AE" w:rsidRPr="000F61EE">
        <w:rPr>
          <w:rFonts w:ascii="Tahoma" w:hAnsi="Tahoma" w:cs="Tahoma"/>
          <w:sz w:val="24"/>
          <w:szCs w:val="24"/>
        </w:rPr>
        <w:t xml:space="preserve">importantes </w:t>
      </w:r>
      <w:r w:rsidR="004100CB" w:rsidRPr="000F61EE">
        <w:rPr>
          <w:rFonts w:ascii="Tahoma" w:hAnsi="Tahoma" w:cs="Tahoma"/>
          <w:sz w:val="24"/>
          <w:szCs w:val="24"/>
        </w:rPr>
        <w:t>ont conduit le Comité des Ministres à clore la surveillance de cette affaire pour ce qui concerne la Slovénie (la Serbie est également concernée) en mars dernier.</w:t>
      </w:r>
    </w:p>
    <w:p w:rsidR="004A13A3" w:rsidRPr="000F61EE" w:rsidRDefault="00D005AE" w:rsidP="00A92571">
      <w:pPr>
        <w:spacing w:line="360" w:lineRule="auto"/>
        <w:jc w:val="both"/>
        <w:rPr>
          <w:rFonts w:ascii="Tahoma" w:hAnsi="Tahoma" w:cs="Tahoma"/>
          <w:sz w:val="24"/>
          <w:szCs w:val="24"/>
        </w:rPr>
      </w:pPr>
      <w:r w:rsidRPr="000F61EE">
        <w:rPr>
          <w:rFonts w:ascii="Tahoma" w:hAnsi="Tahoma" w:cs="Tahoma"/>
          <w:sz w:val="24"/>
          <w:szCs w:val="24"/>
        </w:rPr>
        <w:lastRenderedPageBreak/>
        <w:t>Contrairement à ce</w:t>
      </w:r>
      <w:r w:rsidR="004100CB" w:rsidRPr="000F61EE">
        <w:rPr>
          <w:rFonts w:ascii="Tahoma" w:hAnsi="Tahoma" w:cs="Tahoma"/>
          <w:sz w:val="24"/>
          <w:szCs w:val="24"/>
        </w:rPr>
        <w:t xml:space="preserve"> que l’on peut parfois entendre dire</w:t>
      </w:r>
      <w:r w:rsidRPr="000F61EE">
        <w:rPr>
          <w:rFonts w:ascii="Tahoma" w:hAnsi="Tahoma" w:cs="Tahoma"/>
          <w:sz w:val="24"/>
          <w:szCs w:val="24"/>
        </w:rPr>
        <w:t xml:space="preserve"> ou lire</w:t>
      </w:r>
      <w:r w:rsidR="004100CB" w:rsidRPr="000F61EE">
        <w:rPr>
          <w:rFonts w:ascii="Tahoma" w:hAnsi="Tahoma" w:cs="Tahoma"/>
          <w:sz w:val="24"/>
          <w:szCs w:val="24"/>
        </w:rPr>
        <w:t>, le processus de surveillance de l’exécution des arrêts produit des résultats très substantiels, s</w:t>
      </w:r>
      <w:r w:rsidRPr="000F61EE">
        <w:rPr>
          <w:rFonts w:ascii="Tahoma" w:hAnsi="Tahoma" w:cs="Tahoma"/>
          <w:sz w:val="24"/>
          <w:szCs w:val="24"/>
        </w:rPr>
        <w:t>ouvent méconnus, qui</w:t>
      </w:r>
      <w:r w:rsidR="004100CB" w:rsidRPr="000F61EE">
        <w:rPr>
          <w:rFonts w:ascii="Tahoma" w:hAnsi="Tahoma" w:cs="Tahoma"/>
          <w:sz w:val="24"/>
          <w:szCs w:val="24"/>
        </w:rPr>
        <w:t xml:space="preserve"> affectent la vie de millions d’Européens à travers les « mesures générale</w:t>
      </w:r>
      <w:r w:rsidRPr="000F61EE">
        <w:rPr>
          <w:rFonts w:ascii="Tahoma" w:hAnsi="Tahoma" w:cs="Tahoma"/>
          <w:sz w:val="24"/>
          <w:szCs w:val="24"/>
        </w:rPr>
        <w:t>s</w:t>
      </w:r>
      <w:r w:rsidR="004B44E4" w:rsidRPr="000F61EE">
        <w:rPr>
          <w:rFonts w:ascii="Tahoma" w:hAnsi="Tahoma" w:cs="Tahoma"/>
          <w:sz w:val="24"/>
          <w:szCs w:val="24"/>
        </w:rPr>
        <w:t> »</w:t>
      </w:r>
      <w:r w:rsidRPr="000F61EE">
        <w:rPr>
          <w:rFonts w:ascii="Tahoma" w:hAnsi="Tahoma" w:cs="Tahoma"/>
          <w:sz w:val="24"/>
          <w:szCs w:val="24"/>
        </w:rPr>
        <w:t xml:space="preserve"> prises par les Etats. </w:t>
      </w:r>
    </w:p>
    <w:p w:rsidR="00B61A20" w:rsidRPr="000F61EE" w:rsidRDefault="00D005AE" w:rsidP="00A92571">
      <w:pPr>
        <w:spacing w:line="360" w:lineRule="auto"/>
        <w:jc w:val="both"/>
        <w:rPr>
          <w:rFonts w:ascii="Tahoma" w:hAnsi="Tahoma" w:cs="Tahoma"/>
          <w:sz w:val="24"/>
          <w:szCs w:val="24"/>
        </w:rPr>
      </w:pPr>
      <w:r w:rsidRPr="000F61EE">
        <w:rPr>
          <w:rFonts w:ascii="Tahoma" w:hAnsi="Tahoma" w:cs="Tahoma"/>
          <w:sz w:val="24"/>
          <w:szCs w:val="24"/>
        </w:rPr>
        <w:t>Je ne p</w:t>
      </w:r>
      <w:r w:rsidR="004100CB" w:rsidRPr="000F61EE">
        <w:rPr>
          <w:rFonts w:ascii="Tahoma" w:hAnsi="Tahoma" w:cs="Tahoma"/>
          <w:sz w:val="24"/>
          <w:szCs w:val="24"/>
        </w:rPr>
        <w:t xml:space="preserve">eux à cet égard que vous </w:t>
      </w:r>
      <w:proofErr w:type="spellStart"/>
      <w:r w:rsidR="004100CB" w:rsidRPr="000F61EE">
        <w:rPr>
          <w:rFonts w:ascii="Tahoma" w:hAnsi="Tahoma" w:cs="Tahoma"/>
          <w:sz w:val="24"/>
          <w:szCs w:val="24"/>
        </w:rPr>
        <w:t>inviter</w:t>
      </w:r>
      <w:proofErr w:type="spellEnd"/>
      <w:r w:rsidR="004100CB" w:rsidRPr="000F61EE">
        <w:rPr>
          <w:rFonts w:ascii="Tahoma" w:hAnsi="Tahoma" w:cs="Tahoma"/>
          <w:sz w:val="24"/>
          <w:szCs w:val="24"/>
        </w:rPr>
        <w:t xml:space="preserve"> à vou</w:t>
      </w:r>
      <w:r w:rsidR="006601D1" w:rsidRPr="000F61EE">
        <w:rPr>
          <w:rFonts w:ascii="Tahoma" w:hAnsi="Tahoma" w:cs="Tahoma"/>
          <w:sz w:val="24"/>
          <w:szCs w:val="24"/>
        </w:rPr>
        <w:t>s reporter au site internet (</w:t>
      </w:r>
      <w:hyperlink r:id="rId7" w:history="1">
        <w:r w:rsidR="006601D1" w:rsidRPr="000F61EE">
          <w:rPr>
            <w:rStyle w:val="Collegamentoipertestuale"/>
            <w:rFonts w:ascii="Tahoma" w:hAnsi="Tahoma" w:cs="Tahoma"/>
            <w:sz w:val="24"/>
            <w:szCs w:val="24"/>
          </w:rPr>
          <w:t>https://www.coe.int/fr/web/execution</w:t>
        </w:r>
      </w:hyperlink>
      <w:r w:rsidR="006601D1" w:rsidRPr="000F61EE">
        <w:rPr>
          <w:rFonts w:ascii="Tahoma" w:hAnsi="Tahoma" w:cs="Tahoma"/>
          <w:sz w:val="24"/>
          <w:szCs w:val="24"/>
        </w:rPr>
        <w:t>) du Service de l’e</w:t>
      </w:r>
      <w:r w:rsidR="004100CB" w:rsidRPr="000F61EE">
        <w:rPr>
          <w:rFonts w:ascii="Tahoma" w:hAnsi="Tahoma" w:cs="Tahoma"/>
          <w:sz w:val="24"/>
          <w:szCs w:val="24"/>
        </w:rPr>
        <w:t xml:space="preserve">xécution des arrêts de la Cour ainsi qu’aux </w:t>
      </w:r>
      <w:r w:rsidR="00B979B9" w:rsidRPr="000F61EE">
        <w:rPr>
          <w:rFonts w:ascii="Tahoma" w:hAnsi="Tahoma" w:cs="Tahoma"/>
          <w:sz w:val="24"/>
          <w:szCs w:val="24"/>
        </w:rPr>
        <w:t>rapports annuels du Comité des M</w:t>
      </w:r>
      <w:r w:rsidR="004100CB" w:rsidRPr="000F61EE">
        <w:rPr>
          <w:rFonts w:ascii="Tahoma" w:hAnsi="Tahoma" w:cs="Tahoma"/>
          <w:sz w:val="24"/>
          <w:szCs w:val="24"/>
        </w:rPr>
        <w:t>inistres portant sur la surveillance de l’exécution des arrêts</w:t>
      </w:r>
      <w:r w:rsidR="00B979B9" w:rsidRPr="000F61EE">
        <w:rPr>
          <w:rFonts w:ascii="Tahoma" w:hAnsi="Tahoma" w:cs="Tahoma"/>
          <w:sz w:val="24"/>
          <w:szCs w:val="24"/>
        </w:rPr>
        <w:t>, rapports qui sont disponibles sur ce même site</w:t>
      </w:r>
      <w:r w:rsidR="004100CB" w:rsidRPr="000F61EE">
        <w:rPr>
          <w:rFonts w:ascii="Tahoma" w:hAnsi="Tahoma" w:cs="Tahoma"/>
          <w:sz w:val="24"/>
          <w:szCs w:val="24"/>
        </w:rPr>
        <w:t>.</w:t>
      </w:r>
    </w:p>
    <w:p w:rsidR="00114E23" w:rsidRDefault="00B61A20" w:rsidP="00A92571">
      <w:pPr>
        <w:spacing w:line="360" w:lineRule="auto"/>
        <w:jc w:val="both"/>
        <w:rPr>
          <w:rFonts w:ascii="Tahoma" w:hAnsi="Tahoma" w:cs="Tahoma"/>
          <w:sz w:val="24"/>
          <w:szCs w:val="24"/>
        </w:rPr>
      </w:pPr>
      <w:r w:rsidRPr="000F61EE">
        <w:rPr>
          <w:rFonts w:ascii="Tahoma" w:hAnsi="Tahoma" w:cs="Tahoma"/>
          <w:sz w:val="24"/>
          <w:szCs w:val="24"/>
        </w:rPr>
        <w:t xml:space="preserve">Je ne voudrais pas dans le même temps laisser croire, pour reprendre une expression bien connue, que « tout va pour le mieux dans le meilleur des mondes ». On ne peut en effet ignorer les cas, trop nombreux malheureusement, où l’exécution des arrêts est </w:t>
      </w:r>
      <w:r w:rsidR="00A55EBA">
        <w:rPr>
          <w:rFonts w:ascii="Tahoma" w:hAnsi="Tahoma" w:cs="Tahoma"/>
          <w:sz w:val="24"/>
          <w:szCs w:val="24"/>
        </w:rPr>
        <w:t xml:space="preserve">incomplète, lente, voire </w:t>
      </w:r>
      <w:r w:rsidRPr="000F61EE">
        <w:rPr>
          <w:rFonts w:ascii="Tahoma" w:hAnsi="Tahoma" w:cs="Tahoma"/>
          <w:sz w:val="24"/>
          <w:szCs w:val="24"/>
        </w:rPr>
        <w:t xml:space="preserve">défaillante. A cela plusieurs explications. Je citerai en premier lieu la complexité des mesures à prendre et l’importance des efforts à consentir pour répondre aux arrêts de la Cour. Je citerai à titre d’exemple les mesures très conséquentes qu’on dû prendre les autorités albanaises, dans le cadre de l’exécution des groupes d’affaires </w:t>
      </w:r>
      <w:proofErr w:type="spellStart"/>
      <w:r w:rsidRPr="000F61EE">
        <w:rPr>
          <w:rFonts w:ascii="Tahoma" w:hAnsi="Tahoma" w:cs="Tahoma"/>
          <w:sz w:val="24"/>
          <w:szCs w:val="24"/>
        </w:rPr>
        <w:t>Manushaqe</w:t>
      </w:r>
      <w:proofErr w:type="spellEnd"/>
      <w:r w:rsidRPr="000F61EE">
        <w:rPr>
          <w:rFonts w:ascii="Tahoma" w:hAnsi="Tahoma" w:cs="Tahoma"/>
          <w:sz w:val="24"/>
          <w:szCs w:val="24"/>
        </w:rPr>
        <w:t xml:space="preserve"> </w:t>
      </w:r>
      <w:proofErr w:type="spellStart"/>
      <w:r w:rsidRPr="000F61EE">
        <w:rPr>
          <w:rFonts w:ascii="Tahoma" w:hAnsi="Tahoma" w:cs="Tahoma"/>
          <w:sz w:val="24"/>
          <w:szCs w:val="24"/>
        </w:rPr>
        <w:t>Puto</w:t>
      </w:r>
      <w:proofErr w:type="spellEnd"/>
      <w:r w:rsidRPr="000F61EE">
        <w:rPr>
          <w:rFonts w:ascii="Tahoma" w:hAnsi="Tahoma" w:cs="Tahoma"/>
          <w:sz w:val="24"/>
          <w:szCs w:val="24"/>
        </w:rPr>
        <w:t xml:space="preserve"> et </w:t>
      </w:r>
      <w:proofErr w:type="spellStart"/>
      <w:r w:rsidRPr="000F61EE">
        <w:rPr>
          <w:rFonts w:ascii="Tahoma" w:hAnsi="Tahoma" w:cs="Tahoma"/>
          <w:sz w:val="24"/>
          <w:szCs w:val="24"/>
        </w:rPr>
        <w:t>Driza</w:t>
      </w:r>
      <w:proofErr w:type="spellEnd"/>
      <w:r w:rsidR="00114E23" w:rsidRPr="000F61EE">
        <w:rPr>
          <w:rFonts w:ascii="Tahoma" w:hAnsi="Tahoma" w:cs="Tahoma"/>
          <w:sz w:val="24"/>
          <w:szCs w:val="24"/>
        </w:rPr>
        <w:t>, en vue de la restitution de propriétés privées nationalisées du temps du régime communiste en Albanie. Je n’entrerai pas dans les détails mais je voudrais simplement citer, pour illustrer mon propos, les difficultés imposées par la nécessité d’établir un cadastre des propriétés concernées, identifier les ayant droits et mettre en place un méc</w:t>
      </w:r>
      <w:r w:rsidR="005518DB" w:rsidRPr="000F61EE">
        <w:rPr>
          <w:rFonts w:ascii="Tahoma" w:hAnsi="Tahoma" w:cs="Tahoma"/>
          <w:sz w:val="24"/>
          <w:szCs w:val="24"/>
        </w:rPr>
        <w:t>anisme de restitution effectif.</w:t>
      </w:r>
      <w:r w:rsidR="00114E23" w:rsidRPr="000F61EE">
        <w:rPr>
          <w:rFonts w:ascii="Tahoma" w:hAnsi="Tahoma" w:cs="Tahoma"/>
          <w:sz w:val="24"/>
          <w:szCs w:val="24"/>
        </w:rPr>
        <w:t xml:space="preserve"> A l’évidence, c’est un processus de longue haleine, qui requiert à la fois un engagement politique fort mais aussi une expertise technique </w:t>
      </w:r>
      <w:r w:rsidR="006601D1" w:rsidRPr="000F61EE">
        <w:rPr>
          <w:rFonts w:ascii="Tahoma" w:hAnsi="Tahoma" w:cs="Tahoma"/>
          <w:sz w:val="24"/>
          <w:szCs w:val="24"/>
        </w:rPr>
        <w:t xml:space="preserve">toute </w:t>
      </w:r>
      <w:r w:rsidR="00114E23" w:rsidRPr="000F61EE">
        <w:rPr>
          <w:rFonts w:ascii="Tahoma" w:hAnsi="Tahoma" w:cs="Tahoma"/>
          <w:sz w:val="24"/>
          <w:szCs w:val="24"/>
        </w:rPr>
        <w:t>particulière, pour aboutir à des résultats effectifs.</w:t>
      </w:r>
    </w:p>
    <w:p w:rsidR="00A55EBA" w:rsidRDefault="00A55EBA" w:rsidP="00A92571">
      <w:pPr>
        <w:spacing w:line="360" w:lineRule="auto"/>
        <w:jc w:val="both"/>
        <w:rPr>
          <w:rFonts w:ascii="Tahoma" w:hAnsi="Tahoma" w:cs="Tahoma"/>
          <w:sz w:val="24"/>
          <w:szCs w:val="24"/>
        </w:rPr>
      </w:pPr>
      <w:r>
        <w:rPr>
          <w:rFonts w:ascii="Tahoma" w:hAnsi="Tahoma" w:cs="Tahoma"/>
          <w:sz w:val="24"/>
          <w:szCs w:val="24"/>
        </w:rPr>
        <w:t>Dans ce cas précis, grâce à la volonté politique des gouvernements successifs et au soutien conséquent du Conseil de l’Europe, le défi a été relevé avec succès et le Comité a pu finalement clore sa surveillance en septembre dernier après 11 ans d’efforts.</w:t>
      </w:r>
    </w:p>
    <w:p w:rsidR="00A55EBA" w:rsidRPr="000F61EE" w:rsidRDefault="00A55EBA" w:rsidP="00A92571">
      <w:pPr>
        <w:spacing w:line="360" w:lineRule="auto"/>
        <w:jc w:val="both"/>
        <w:rPr>
          <w:rFonts w:ascii="Tahoma" w:hAnsi="Tahoma" w:cs="Tahoma"/>
          <w:sz w:val="24"/>
          <w:szCs w:val="24"/>
        </w:rPr>
      </w:pPr>
    </w:p>
    <w:p w:rsidR="004A13A3" w:rsidRPr="000F61EE" w:rsidRDefault="00A55EBA" w:rsidP="00A92571">
      <w:pPr>
        <w:spacing w:line="360" w:lineRule="auto"/>
        <w:jc w:val="both"/>
        <w:rPr>
          <w:rFonts w:ascii="Tahoma" w:hAnsi="Tahoma" w:cs="Tahoma"/>
          <w:sz w:val="24"/>
          <w:szCs w:val="24"/>
        </w:rPr>
      </w:pPr>
      <w:r>
        <w:rPr>
          <w:rFonts w:ascii="Tahoma" w:hAnsi="Tahoma" w:cs="Tahoma"/>
          <w:sz w:val="24"/>
          <w:szCs w:val="24"/>
        </w:rPr>
        <w:lastRenderedPageBreak/>
        <w:t>La clôture heureuse de ce problème complexe, de grande envergure économique et touchant un grand nombre de personnes</w:t>
      </w:r>
      <w:r w:rsidR="008603C4">
        <w:rPr>
          <w:rFonts w:ascii="Tahoma" w:hAnsi="Tahoma" w:cs="Tahoma"/>
          <w:sz w:val="24"/>
          <w:szCs w:val="24"/>
        </w:rPr>
        <w:t xml:space="preserve"> m’amène à souligner que f</w:t>
      </w:r>
      <w:r w:rsidR="002C20DD" w:rsidRPr="000F61EE">
        <w:rPr>
          <w:rFonts w:ascii="Tahoma" w:hAnsi="Tahoma" w:cs="Tahoma"/>
          <w:sz w:val="24"/>
          <w:szCs w:val="24"/>
        </w:rPr>
        <w:t>ace aux difficultés que pose l’exécution des arrêts, les Etats Parties ne sont pas laissés</w:t>
      </w:r>
      <w:r w:rsidR="004E1FDC" w:rsidRPr="000F61EE">
        <w:rPr>
          <w:rFonts w:ascii="Tahoma" w:hAnsi="Tahoma" w:cs="Tahoma"/>
          <w:sz w:val="24"/>
          <w:szCs w:val="24"/>
        </w:rPr>
        <w:t xml:space="preserve"> à eux-</w:t>
      </w:r>
      <w:r w:rsidR="002C20DD" w:rsidRPr="000F61EE">
        <w:rPr>
          <w:rFonts w:ascii="Tahoma" w:hAnsi="Tahoma" w:cs="Tahoma"/>
          <w:sz w:val="24"/>
          <w:szCs w:val="24"/>
        </w:rPr>
        <w:t>même</w:t>
      </w:r>
      <w:r w:rsidR="004E1FDC" w:rsidRPr="000F61EE">
        <w:rPr>
          <w:rFonts w:ascii="Tahoma" w:hAnsi="Tahoma" w:cs="Tahoma"/>
          <w:sz w:val="24"/>
          <w:szCs w:val="24"/>
        </w:rPr>
        <w:t>s</w:t>
      </w:r>
      <w:r w:rsidR="002C20DD" w:rsidRPr="000F61EE">
        <w:rPr>
          <w:rFonts w:ascii="Tahoma" w:hAnsi="Tahoma" w:cs="Tahoma"/>
          <w:sz w:val="24"/>
          <w:szCs w:val="24"/>
        </w:rPr>
        <w:t>. D</w:t>
      </w:r>
      <w:r w:rsidR="004E1FDC" w:rsidRPr="000F61EE">
        <w:rPr>
          <w:rFonts w:ascii="Tahoma" w:hAnsi="Tahoma" w:cs="Tahoma"/>
          <w:sz w:val="24"/>
          <w:szCs w:val="24"/>
        </w:rPr>
        <w:t>epuis de nombreuses années, le Cons</w:t>
      </w:r>
      <w:r w:rsidR="002C20DD" w:rsidRPr="000F61EE">
        <w:rPr>
          <w:rFonts w:ascii="Tahoma" w:hAnsi="Tahoma" w:cs="Tahoma"/>
          <w:sz w:val="24"/>
          <w:szCs w:val="24"/>
        </w:rPr>
        <w:t>eil de l’</w:t>
      </w:r>
      <w:r w:rsidR="004E1FDC" w:rsidRPr="000F61EE">
        <w:rPr>
          <w:rFonts w:ascii="Tahoma" w:hAnsi="Tahoma" w:cs="Tahoma"/>
          <w:sz w:val="24"/>
          <w:szCs w:val="24"/>
        </w:rPr>
        <w:t xml:space="preserve">Europe a développé des </w:t>
      </w:r>
      <w:r w:rsidR="002C20DD" w:rsidRPr="000F61EE">
        <w:rPr>
          <w:rFonts w:ascii="Tahoma" w:hAnsi="Tahoma" w:cs="Tahoma"/>
          <w:sz w:val="24"/>
          <w:szCs w:val="24"/>
        </w:rPr>
        <w:t>activités d’</w:t>
      </w:r>
      <w:r w:rsidR="004E1FDC" w:rsidRPr="000F61EE">
        <w:rPr>
          <w:rFonts w:ascii="Tahoma" w:hAnsi="Tahoma" w:cs="Tahoma"/>
          <w:sz w:val="24"/>
          <w:szCs w:val="24"/>
        </w:rPr>
        <w:t>assis</w:t>
      </w:r>
      <w:r w:rsidR="002C20DD" w:rsidRPr="000F61EE">
        <w:rPr>
          <w:rFonts w:ascii="Tahoma" w:hAnsi="Tahoma" w:cs="Tahoma"/>
          <w:sz w:val="24"/>
          <w:szCs w:val="24"/>
        </w:rPr>
        <w:t>tance visant à</w:t>
      </w:r>
      <w:r w:rsidR="004E1FDC" w:rsidRPr="000F61EE">
        <w:rPr>
          <w:rFonts w:ascii="Tahoma" w:hAnsi="Tahoma" w:cs="Tahoma"/>
          <w:sz w:val="24"/>
          <w:szCs w:val="24"/>
        </w:rPr>
        <w:t xml:space="preserve"> aider les E</w:t>
      </w:r>
      <w:r w:rsidR="002C20DD" w:rsidRPr="000F61EE">
        <w:rPr>
          <w:rFonts w:ascii="Tahoma" w:hAnsi="Tahoma" w:cs="Tahoma"/>
          <w:sz w:val="24"/>
          <w:szCs w:val="24"/>
        </w:rPr>
        <w:t>tats membres à mettre leur l</w:t>
      </w:r>
      <w:r w:rsidR="004E1FDC" w:rsidRPr="000F61EE">
        <w:rPr>
          <w:rFonts w:ascii="Tahoma" w:hAnsi="Tahoma" w:cs="Tahoma"/>
          <w:sz w:val="24"/>
          <w:szCs w:val="24"/>
        </w:rPr>
        <w:t>égislation et leur pratique internes en confo</w:t>
      </w:r>
      <w:r w:rsidR="002C20DD" w:rsidRPr="000F61EE">
        <w:rPr>
          <w:rFonts w:ascii="Tahoma" w:hAnsi="Tahoma" w:cs="Tahoma"/>
          <w:sz w:val="24"/>
          <w:szCs w:val="24"/>
        </w:rPr>
        <w:t>rmi</w:t>
      </w:r>
      <w:r w:rsidR="004E1FDC" w:rsidRPr="000F61EE">
        <w:rPr>
          <w:rFonts w:ascii="Tahoma" w:hAnsi="Tahoma" w:cs="Tahoma"/>
          <w:sz w:val="24"/>
          <w:szCs w:val="24"/>
        </w:rPr>
        <w:t>té a</w:t>
      </w:r>
      <w:r w:rsidR="002C20DD" w:rsidRPr="000F61EE">
        <w:rPr>
          <w:rFonts w:ascii="Tahoma" w:hAnsi="Tahoma" w:cs="Tahoma"/>
          <w:sz w:val="24"/>
          <w:szCs w:val="24"/>
        </w:rPr>
        <w:t>vec les normes de l’Organisation. Dans</w:t>
      </w:r>
      <w:r w:rsidR="004E1FDC" w:rsidRPr="000F61EE">
        <w:rPr>
          <w:rFonts w:ascii="Tahoma" w:hAnsi="Tahoma" w:cs="Tahoma"/>
          <w:sz w:val="24"/>
          <w:szCs w:val="24"/>
        </w:rPr>
        <w:t xml:space="preserve"> ce contexte, une place particu</w:t>
      </w:r>
      <w:r w:rsidR="002C20DD" w:rsidRPr="000F61EE">
        <w:rPr>
          <w:rFonts w:ascii="Tahoma" w:hAnsi="Tahoma" w:cs="Tahoma"/>
          <w:sz w:val="24"/>
          <w:szCs w:val="24"/>
        </w:rPr>
        <w:t>lière est accordée à l’</w:t>
      </w:r>
      <w:r w:rsidR="004E1FDC" w:rsidRPr="000F61EE">
        <w:rPr>
          <w:rFonts w:ascii="Tahoma" w:hAnsi="Tahoma" w:cs="Tahoma"/>
          <w:sz w:val="24"/>
          <w:szCs w:val="24"/>
        </w:rPr>
        <w:t>exécution des arrê</w:t>
      </w:r>
      <w:r w:rsidR="002C20DD" w:rsidRPr="000F61EE">
        <w:rPr>
          <w:rFonts w:ascii="Tahoma" w:hAnsi="Tahoma" w:cs="Tahoma"/>
          <w:sz w:val="24"/>
          <w:szCs w:val="24"/>
        </w:rPr>
        <w:t>ts de la Cour</w:t>
      </w:r>
      <w:r w:rsidR="004E1FDC" w:rsidRPr="000F61EE">
        <w:rPr>
          <w:rFonts w:ascii="Tahoma" w:hAnsi="Tahoma" w:cs="Tahoma"/>
          <w:sz w:val="24"/>
          <w:szCs w:val="24"/>
        </w:rPr>
        <w:t>, à travers l’organ</w:t>
      </w:r>
      <w:r w:rsidR="00D94814" w:rsidRPr="000F61EE">
        <w:rPr>
          <w:rFonts w:ascii="Tahoma" w:hAnsi="Tahoma" w:cs="Tahoma"/>
          <w:sz w:val="24"/>
          <w:szCs w:val="24"/>
        </w:rPr>
        <w:t>isation de missions d’expertise</w:t>
      </w:r>
      <w:r w:rsidR="004E1FDC" w:rsidRPr="000F61EE">
        <w:rPr>
          <w:rFonts w:ascii="Tahoma" w:hAnsi="Tahoma" w:cs="Tahoma"/>
          <w:sz w:val="24"/>
          <w:szCs w:val="24"/>
        </w:rPr>
        <w:t xml:space="preserve"> pour aider à la révision de lois et de réglementation</w:t>
      </w:r>
      <w:r w:rsidR="00165EE6" w:rsidRPr="000F61EE">
        <w:rPr>
          <w:rFonts w:ascii="Tahoma" w:hAnsi="Tahoma" w:cs="Tahoma"/>
          <w:sz w:val="24"/>
          <w:szCs w:val="24"/>
        </w:rPr>
        <w:t>s</w:t>
      </w:r>
      <w:r w:rsidR="004E1FDC" w:rsidRPr="000F61EE">
        <w:rPr>
          <w:rFonts w:ascii="Tahoma" w:hAnsi="Tahoma" w:cs="Tahoma"/>
          <w:sz w:val="24"/>
          <w:szCs w:val="24"/>
        </w:rPr>
        <w:t xml:space="preserve">, mais aussi d’activités pratiques </w:t>
      </w:r>
      <w:r w:rsidR="00165EE6" w:rsidRPr="000F61EE">
        <w:rPr>
          <w:rFonts w:ascii="Tahoma" w:hAnsi="Tahoma" w:cs="Tahoma"/>
          <w:sz w:val="24"/>
          <w:szCs w:val="24"/>
        </w:rPr>
        <w:t xml:space="preserve">d’information ou de formation en vue par exemple </w:t>
      </w:r>
      <w:r w:rsidR="004E1FDC" w:rsidRPr="000F61EE">
        <w:rPr>
          <w:rFonts w:ascii="Tahoma" w:hAnsi="Tahoma" w:cs="Tahoma"/>
          <w:sz w:val="24"/>
          <w:szCs w:val="24"/>
        </w:rPr>
        <w:t xml:space="preserve">de </w:t>
      </w:r>
      <w:r w:rsidR="00165EE6" w:rsidRPr="000F61EE">
        <w:rPr>
          <w:rFonts w:ascii="Tahoma" w:hAnsi="Tahoma" w:cs="Tahoma"/>
          <w:sz w:val="24"/>
          <w:szCs w:val="24"/>
        </w:rPr>
        <w:t xml:space="preserve">la </w:t>
      </w:r>
      <w:r w:rsidR="004E1FDC" w:rsidRPr="000F61EE">
        <w:rPr>
          <w:rFonts w:ascii="Tahoma" w:hAnsi="Tahoma" w:cs="Tahoma"/>
          <w:sz w:val="24"/>
          <w:szCs w:val="24"/>
        </w:rPr>
        <w:t xml:space="preserve">mise en place d’organes ou d’institutions nouvelles nécessités par des arrêts de la Cour. </w:t>
      </w:r>
    </w:p>
    <w:p w:rsidR="002C20DD" w:rsidRPr="000F61EE" w:rsidRDefault="004E1FDC" w:rsidP="00A92571">
      <w:pPr>
        <w:spacing w:line="360" w:lineRule="auto"/>
        <w:jc w:val="both"/>
        <w:rPr>
          <w:rFonts w:ascii="Tahoma" w:hAnsi="Tahoma" w:cs="Tahoma"/>
          <w:sz w:val="24"/>
          <w:szCs w:val="24"/>
        </w:rPr>
      </w:pPr>
      <w:r w:rsidRPr="000F61EE">
        <w:rPr>
          <w:rFonts w:ascii="Tahoma" w:hAnsi="Tahoma" w:cs="Tahoma"/>
          <w:sz w:val="24"/>
          <w:szCs w:val="24"/>
        </w:rPr>
        <w:t>Ces activités sont l’occasion d’organiser des transferts d’expériences entre Etats, certains mettant le savoir-faire qu’ils ont acquis à disposition d’autres pays confrontés aux mêmes problèmes. C’est dans le même esprit d’un échange d’expériences mut</w:t>
      </w:r>
      <w:r w:rsidR="00D005AE" w:rsidRPr="000F61EE">
        <w:rPr>
          <w:rFonts w:ascii="Tahoma" w:hAnsi="Tahoma" w:cs="Tahoma"/>
          <w:sz w:val="24"/>
          <w:szCs w:val="24"/>
        </w:rPr>
        <w:t>uellement bénéfique</w:t>
      </w:r>
      <w:r w:rsidRPr="000F61EE">
        <w:rPr>
          <w:rFonts w:ascii="Tahoma" w:hAnsi="Tahoma" w:cs="Tahoma"/>
          <w:sz w:val="24"/>
          <w:szCs w:val="24"/>
        </w:rPr>
        <w:t xml:space="preserve"> que le Comité des Ministres a lancé cette année</w:t>
      </w:r>
      <w:r w:rsidR="00D005AE" w:rsidRPr="000F61EE">
        <w:rPr>
          <w:rFonts w:ascii="Tahoma" w:hAnsi="Tahoma" w:cs="Tahoma"/>
          <w:sz w:val="24"/>
          <w:szCs w:val="24"/>
        </w:rPr>
        <w:t>, en marge des réunions Droits de l’Homme,</w:t>
      </w:r>
      <w:r w:rsidRPr="000F61EE">
        <w:rPr>
          <w:rFonts w:ascii="Tahoma" w:hAnsi="Tahoma" w:cs="Tahoma"/>
          <w:sz w:val="24"/>
          <w:szCs w:val="24"/>
        </w:rPr>
        <w:t xml:space="preserve"> un système de débat thématique annuel permettant aux Etats </w:t>
      </w:r>
      <w:r w:rsidR="00D005AE" w:rsidRPr="000F61EE">
        <w:rPr>
          <w:rFonts w:ascii="Tahoma" w:hAnsi="Tahoma" w:cs="Tahoma"/>
          <w:sz w:val="24"/>
          <w:szCs w:val="24"/>
        </w:rPr>
        <w:t xml:space="preserve">de </w:t>
      </w:r>
      <w:r w:rsidRPr="000F61EE">
        <w:rPr>
          <w:rFonts w:ascii="Tahoma" w:hAnsi="Tahoma" w:cs="Tahoma"/>
          <w:sz w:val="24"/>
          <w:szCs w:val="24"/>
        </w:rPr>
        <w:t>confronter leurs expériences et les solutions qu’ils ont mis en place. Le premier de ces débats a eu lieu en mars de cette année, sur les questions concernant les conditions de détention</w:t>
      </w:r>
      <w:r w:rsidR="005518DB" w:rsidRPr="000F61EE">
        <w:rPr>
          <w:rStyle w:val="Rimandonotaapidipagina"/>
          <w:rFonts w:ascii="Tahoma" w:hAnsi="Tahoma" w:cs="Tahoma"/>
          <w:sz w:val="24"/>
          <w:szCs w:val="24"/>
        </w:rPr>
        <w:footnoteReference w:id="1"/>
      </w:r>
      <w:r w:rsidRPr="000F61EE">
        <w:rPr>
          <w:rFonts w:ascii="Tahoma" w:hAnsi="Tahoma" w:cs="Tahoma"/>
          <w:sz w:val="24"/>
          <w:szCs w:val="24"/>
        </w:rPr>
        <w:t xml:space="preserve">. Le </w:t>
      </w:r>
      <w:r w:rsidR="00F92581" w:rsidRPr="000F61EE">
        <w:rPr>
          <w:rFonts w:ascii="Tahoma" w:hAnsi="Tahoma" w:cs="Tahoma"/>
          <w:sz w:val="24"/>
          <w:szCs w:val="24"/>
        </w:rPr>
        <w:t xml:space="preserve">Garant national des droits des personnes privées de liberté </w:t>
      </w:r>
      <w:r w:rsidRPr="000F61EE">
        <w:rPr>
          <w:rFonts w:ascii="Tahoma" w:hAnsi="Tahoma" w:cs="Tahoma"/>
          <w:sz w:val="24"/>
          <w:szCs w:val="24"/>
        </w:rPr>
        <w:t>en Italie, M. Mauro Palma, est intervenu dan</w:t>
      </w:r>
      <w:r w:rsidR="00D94814" w:rsidRPr="000F61EE">
        <w:rPr>
          <w:rFonts w:ascii="Tahoma" w:hAnsi="Tahoma" w:cs="Tahoma"/>
          <w:sz w:val="24"/>
          <w:szCs w:val="24"/>
        </w:rPr>
        <w:t>s ce contexte pour présenter</w:t>
      </w:r>
      <w:r w:rsidRPr="000F61EE">
        <w:rPr>
          <w:rFonts w:ascii="Tahoma" w:hAnsi="Tahoma" w:cs="Tahoma"/>
          <w:sz w:val="24"/>
          <w:szCs w:val="24"/>
        </w:rPr>
        <w:t xml:space="preserve"> son action.</w:t>
      </w:r>
      <w:r w:rsidR="00F92581" w:rsidRPr="000F61EE">
        <w:rPr>
          <w:rFonts w:ascii="Tahoma" w:hAnsi="Tahoma" w:cs="Tahoma"/>
          <w:sz w:val="24"/>
          <w:szCs w:val="24"/>
        </w:rPr>
        <w:t xml:space="preserve"> </w:t>
      </w:r>
    </w:p>
    <w:p w:rsidR="004A13A3" w:rsidRPr="000F61EE" w:rsidRDefault="00114E23" w:rsidP="00A92571">
      <w:pPr>
        <w:spacing w:line="360" w:lineRule="auto"/>
        <w:jc w:val="both"/>
        <w:rPr>
          <w:rFonts w:ascii="Tahoma" w:hAnsi="Tahoma" w:cs="Tahoma"/>
          <w:sz w:val="24"/>
          <w:szCs w:val="24"/>
        </w:rPr>
      </w:pPr>
      <w:r w:rsidRPr="000F61EE">
        <w:rPr>
          <w:rFonts w:ascii="Tahoma" w:hAnsi="Tahoma" w:cs="Tahoma"/>
          <w:sz w:val="24"/>
          <w:szCs w:val="24"/>
        </w:rPr>
        <w:t>L’autre motif de non-exécution, le plus préoccupant parce que le plus difficile à régler</w:t>
      </w:r>
      <w:r w:rsidR="008F1486" w:rsidRPr="000F61EE">
        <w:rPr>
          <w:rFonts w:ascii="Tahoma" w:hAnsi="Tahoma" w:cs="Tahoma"/>
          <w:sz w:val="24"/>
          <w:szCs w:val="24"/>
        </w:rPr>
        <w:t>, concerne</w:t>
      </w:r>
      <w:r w:rsidRPr="000F61EE">
        <w:rPr>
          <w:rFonts w:ascii="Tahoma" w:hAnsi="Tahoma" w:cs="Tahoma"/>
          <w:sz w:val="24"/>
          <w:szCs w:val="24"/>
        </w:rPr>
        <w:t xml:space="preserve"> le défaut de volonté politique d’exécuter un arrêt ou le fait que l’exécution dépend de l’existence ou non d’un contexte politique favorabl</w:t>
      </w:r>
      <w:r w:rsidR="008F1486" w:rsidRPr="000F61EE">
        <w:rPr>
          <w:rFonts w:ascii="Tahoma" w:hAnsi="Tahoma" w:cs="Tahoma"/>
          <w:sz w:val="24"/>
          <w:szCs w:val="24"/>
        </w:rPr>
        <w:t>e</w:t>
      </w:r>
      <w:r w:rsidRPr="000F61EE">
        <w:rPr>
          <w:rFonts w:ascii="Tahoma" w:hAnsi="Tahoma" w:cs="Tahoma"/>
          <w:sz w:val="24"/>
          <w:szCs w:val="24"/>
        </w:rPr>
        <w:t>. Je voudrais mentionner tout particulièrement dans ce contexte les arrêts de la Cour dans des affaires interétatiques</w:t>
      </w:r>
      <w:r w:rsidR="008F1486" w:rsidRPr="000F61EE">
        <w:rPr>
          <w:rFonts w:ascii="Tahoma" w:hAnsi="Tahoma" w:cs="Tahoma"/>
          <w:sz w:val="24"/>
          <w:szCs w:val="24"/>
        </w:rPr>
        <w:t xml:space="preserve">, qui sont devenus une cause de préoccupation grandissante pour le Comité des Ministres ces dernières années à mesure que le nombre de ces arrêts augmente. </w:t>
      </w:r>
    </w:p>
    <w:p w:rsidR="006A5D69" w:rsidRPr="000F61EE" w:rsidRDefault="008F1486" w:rsidP="00A92571">
      <w:pPr>
        <w:spacing w:line="360" w:lineRule="auto"/>
        <w:jc w:val="both"/>
        <w:rPr>
          <w:rFonts w:ascii="Tahoma" w:hAnsi="Tahoma" w:cs="Tahoma"/>
          <w:sz w:val="24"/>
          <w:szCs w:val="24"/>
        </w:rPr>
      </w:pPr>
      <w:r w:rsidRPr="000F61EE">
        <w:rPr>
          <w:rFonts w:ascii="Tahoma" w:hAnsi="Tahoma" w:cs="Tahoma"/>
          <w:sz w:val="24"/>
          <w:szCs w:val="24"/>
        </w:rPr>
        <w:lastRenderedPageBreak/>
        <w:t xml:space="preserve">Je pense en premier lieu </w:t>
      </w:r>
      <w:r w:rsidR="008603C4">
        <w:rPr>
          <w:rFonts w:ascii="Tahoma" w:hAnsi="Tahoma" w:cs="Tahoma"/>
          <w:sz w:val="24"/>
          <w:szCs w:val="24"/>
        </w:rPr>
        <w:t xml:space="preserve">bien sûr </w:t>
      </w:r>
      <w:r w:rsidRPr="000F61EE">
        <w:rPr>
          <w:rFonts w:ascii="Tahoma" w:hAnsi="Tahoma" w:cs="Tahoma"/>
          <w:sz w:val="24"/>
          <w:szCs w:val="24"/>
        </w:rPr>
        <w:t xml:space="preserve">à l’arrêt </w:t>
      </w:r>
      <w:r w:rsidR="006B180A" w:rsidRPr="000F61EE">
        <w:rPr>
          <w:rFonts w:ascii="Tahoma" w:hAnsi="Tahoma" w:cs="Tahoma"/>
          <w:sz w:val="24"/>
          <w:szCs w:val="24"/>
        </w:rPr>
        <w:t xml:space="preserve">de la Cour dans l’affaire interétatique </w:t>
      </w:r>
      <w:r w:rsidRPr="000F61EE">
        <w:rPr>
          <w:rFonts w:ascii="Tahoma" w:hAnsi="Tahoma" w:cs="Tahoma"/>
          <w:sz w:val="24"/>
          <w:szCs w:val="24"/>
        </w:rPr>
        <w:t>Chypre contre Turquie, d’une grande complexité</w:t>
      </w:r>
      <w:r w:rsidR="00114E23" w:rsidRPr="000F61EE">
        <w:rPr>
          <w:rFonts w:ascii="Tahoma" w:hAnsi="Tahoma" w:cs="Tahoma"/>
          <w:sz w:val="24"/>
          <w:szCs w:val="24"/>
        </w:rPr>
        <w:t xml:space="preserve"> </w:t>
      </w:r>
      <w:r w:rsidR="008603C4">
        <w:rPr>
          <w:rFonts w:ascii="Tahoma" w:hAnsi="Tahoma" w:cs="Tahoma"/>
          <w:sz w:val="24"/>
          <w:szCs w:val="24"/>
        </w:rPr>
        <w:t>dans son exécution en ce qui concerne les questions encore pendantes, surtout celles relatives aux droits de propriété. M</w:t>
      </w:r>
      <w:r w:rsidRPr="000F61EE">
        <w:rPr>
          <w:rFonts w:ascii="Tahoma" w:hAnsi="Tahoma" w:cs="Tahoma"/>
          <w:sz w:val="24"/>
          <w:szCs w:val="24"/>
        </w:rPr>
        <w:t xml:space="preserve">ais </w:t>
      </w:r>
      <w:r w:rsidR="008603C4">
        <w:rPr>
          <w:rFonts w:ascii="Tahoma" w:hAnsi="Tahoma" w:cs="Tahoma"/>
          <w:sz w:val="24"/>
          <w:szCs w:val="24"/>
        </w:rPr>
        <w:t xml:space="preserve">cette affaire n’est pas la seule. Un nombre grandissant d’arrêts sont en effet rendus par la Cour dans des affaires individuelles qui s’inscrivent dans le contexte de différents conflits non résolus, </w:t>
      </w:r>
      <w:r w:rsidR="004619FE">
        <w:rPr>
          <w:rFonts w:ascii="Tahoma" w:hAnsi="Tahoma" w:cs="Tahoma"/>
          <w:sz w:val="24"/>
          <w:szCs w:val="24"/>
        </w:rPr>
        <w:t>tel celui</w:t>
      </w:r>
      <w:r w:rsidR="006B180A" w:rsidRPr="000F61EE">
        <w:rPr>
          <w:rFonts w:ascii="Tahoma" w:hAnsi="Tahoma" w:cs="Tahoma"/>
          <w:sz w:val="24"/>
          <w:szCs w:val="24"/>
        </w:rPr>
        <w:t xml:space="preserve"> du Haut Karabakh (</w:t>
      </w:r>
      <w:proofErr w:type="spellStart"/>
      <w:r w:rsidR="006B180A" w:rsidRPr="000F61EE">
        <w:rPr>
          <w:rFonts w:ascii="Tahoma" w:hAnsi="Tahoma" w:cs="Tahoma"/>
          <w:sz w:val="24"/>
          <w:szCs w:val="24"/>
        </w:rPr>
        <w:t>Sargsyan</w:t>
      </w:r>
      <w:proofErr w:type="spellEnd"/>
      <w:r w:rsidR="006B180A" w:rsidRPr="000F61EE">
        <w:rPr>
          <w:rFonts w:ascii="Tahoma" w:hAnsi="Tahoma" w:cs="Tahoma"/>
          <w:sz w:val="24"/>
          <w:szCs w:val="24"/>
        </w:rPr>
        <w:t xml:space="preserve"> </w:t>
      </w:r>
      <w:r w:rsidR="003C410D" w:rsidRPr="000F61EE">
        <w:rPr>
          <w:rFonts w:ascii="Tahoma" w:hAnsi="Tahoma" w:cs="Tahoma"/>
          <w:sz w:val="24"/>
          <w:szCs w:val="24"/>
        </w:rPr>
        <w:t>c</w:t>
      </w:r>
      <w:r w:rsidR="00BD7603" w:rsidRPr="000F61EE">
        <w:rPr>
          <w:rFonts w:ascii="Tahoma" w:hAnsi="Tahoma" w:cs="Tahoma"/>
          <w:sz w:val="24"/>
          <w:szCs w:val="24"/>
        </w:rPr>
        <w:t xml:space="preserve">. Azerbaïdjan et </w:t>
      </w:r>
      <w:proofErr w:type="spellStart"/>
      <w:r w:rsidR="006B180A" w:rsidRPr="000F61EE">
        <w:rPr>
          <w:rFonts w:ascii="Tahoma" w:hAnsi="Tahoma" w:cs="Tahoma"/>
          <w:sz w:val="24"/>
          <w:szCs w:val="24"/>
        </w:rPr>
        <w:t>Chiragov</w:t>
      </w:r>
      <w:proofErr w:type="spellEnd"/>
      <w:r w:rsidR="00BD7603" w:rsidRPr="000F61EE">
        <w:rPr>
          <w:rFonts w:ascii="Tahoma" w:hAnsi="Tahoma" w:cs="Tahoma"/>
          <w:sz w:val="24"/>
          <w:szCs w:val="24"/>
        </w:rPr>
        <w:t xml:space="preserve"> et autres c. Arménie</w:t>
      </w:r>
      <w:r w:rsidR="006B180A" w:rsidRPr="000F61EE">
        <w:rPr>
          <w:rFonts w:ascii="Tahoma" w:hAnsi="Tahoma" w:cs="Tahoma"/>
          <w:sz w:val="24"/>
          <w:szCs w:val="24"/>
        </w:rPr>
        <w:t xml:space="preserve">), </w:t>
      </w:r>
      <w:r w:rsidR="004619FE">
        <w:rPr>
          <w:rFonts w:ascii="Tahoma" w:hAnsi="Tahoma" w:cs="Tahoma"/>
          <w:sz w:val="24"/>
          <w:szCs w:val="24"/>
        </w:rPr>
        <w:t xml:space="preserve">et </w:t>
      </w:r>
      <w:r w:rsidR="006B180A" w:rsidRPr="000F61EE">
        <w:rPr>
          <w:rFonts w:ascii="Tahoma" w:hAnsi="Tahoma" w:cs="Tahoma"/>
          <w:sz w:val="24"/>
          <w:szCs w:val="24"/>
        </w:rPr>
        <w:t xml:space="preserve">qui posent aussi des questions d’une grande complexité, </w:t>
      </w:r>
      <w:r w:rsidR="00D005AE" w:rsidRPr="000F61EE">
        <w:rPr>
          <w:rFonts w:ascii="Tahoma" w:hAnsi="Tahoma" w:cs="Tahoma"/>
          <w:sz w:val="24"/>
          <w:szCs w:val="24"/>
        </w:rPr>
        <w:t>en particulier pour l</w:t>
      </w:r>
      <w:r w:rsidR="006B180A" w:rsidRPr="000F61EE">
        <w:rPr>
          <w:rFonts w:ascii="Tahoma" w:hAnsi="Tahoma" w:cs="Tahoma"/>
          <w:sz w:val="24"/>
          <w:szCs w:val="24"/>
        </w:rPr>
        <w:t xml:space="preserve">’établissement de remèdes effectifs pour répondre </w:t>
      </w:r>
      <w:r w:rsidR="00D005AE" w:rsidRPr="000F61EE">
        <w:rPr>
          <w:rFonts w:ascii="Tahoma" w:hAnsi="Tahoma" w:cs="Tahoma"/>
          <w:sz w:val="24"/>
          <w:szCs w:val="24"/>
        </w:rPr>
        <w:t xml:space="preserve">aux violations constatées par la Cour. </w:t>
      </w:r>
    </w:p>
    <w:p w:rsidR="00020574" w:rsidRPr="000F61EE" w:rsidRDefault="004619FE" w:rsidP="00A92571">
      <w:pPr>
        <w:spacing w:line="360" w:lineRule="auto"/>
        <w:jc w:val="both"/>
        <w:rPr>
          <w:rFonts w:ascii="Tahoma" w:hAnsi="Tahoma" w:cs="Tahoma"/>
          <w:sz w:val="24"/>
          <w:szCs w:val="24"/>
        </w:rPr>
      </w:pPr>
      <w:r>
        <w:rPr>
          <w:rFonts w:ascii="Tahoma" w:hAnsi="Tahoma" w:cs="Tahoma"/>
          <w:sz w:val="24"/>
          <w:szCs w:val="24"/>
        </w:rPr>
        <w:t>Je citerai aussi la série</w:t>
      </w:r>
      <w:r w:rsidR="006B180A" w:rsidRPr="000F61EE">
        <w:rPr>
          <w:rFonts w:ascii="Tahoma" w:hAnsi="Tahoma" w:cs="Tahoma"/>
          <w:sz w:val="24"/>
          <w:szCs w:val="24"/>
        </w:rPr>
        <w:t xml:space="preserve"> </w:t>
      </w:r>
      <w:r>
        <w:rPr>
          <w:rFonts w:ascii="Tahoma" w:hAnsi="Tahoma" w:cs="Tahoma"/>
          <w:sz w:val="24"/>
          <w:szCs w:val="24"/>
        </w:rPr>
        <w:t>d’</w:t>
      </w:r>
      <w:r w:rsidR="006B180A" w:rsidRPr="000F61EE">
        <w:rPr>
          <w:rFonts w:ascii="Tahoma" w:hAnsi="Tahoma" w:cs="Tahoma"/>
          <w:sz w:val="24"/>
          <w:szCs w:val="24"/>
        </w:rPr>
        <w:t>arrêts rendus par la Cour</w:t>
      </w:r>
      <w:r>
        <w:rPr>
          <w:rFonts w:ascii="Tahoma" w:hAnsi="Tahoma" w:cs="Tahoma"/>
          <w:sz w:val="24"/>
          <w:szCs w:val="24"/>
        </w:rPr>
        <w:t xml:space="preserve"> depuis 2004</w:t>
      </w:r>
      <w:r w:rsidR="006B180A" w:rsidRPr="000F61EE">
        <w:rPr>
          <w:rFonts w:ascii="Tahoma" w:hAnsi="Tahoma" w:cs="Tahoma"/>
          <w:sz w:val="24"/>
          <w:szCs w:val="24"/>
        </w:rPr>
        <w:t>, y compris encore ces derniers mois</w:t>
      </w:r>
      <w:r w:rsidR="006E48B6" w:rsidRPr="000F61EE">
        <w:rPr>
          <w:rStyle w:val="Rimandonotaapidipagina"/>
          <w:rFonts w:ascii="Tahoma" w:hAnsi="Tahoma" w:cs="Tahoma"/>
          <w:sz w:val="24"/>
          <w:szCs w:val="24"/>
        </w:rPr>
        <w:footnoteReference w:id="2"/>
      </w:r>
      <w:r w:rsidR="006E48B6" w:rsidRPr="000F61EE">
        <w:rPr>
          <w:rFonts w:ascii="Tahoma" w:hAnsi="Tahoma" w:cs="Tahoma"/>
          <w:sz w:val="24"/>
          <w:szCs w:val="24"/>
        </w:rPr>
        <w:t>,</w:t>
      </w:r>
      <w:r w:rsidR="00CF55F1" w:rsidRPr="000F61EE">
        <w:rPr>
          <w:rFonts w:ascii="Tahoma" w:hAnsi="Tahoma" w:cs="Tahoma"/>
          <w:sz w:val="24"/>
          <w:szCs w:val="24"/>
        </w:rPr>
        <w:t xml:space="preserve"> </w:t>
      </w:r>
      <w:r w:rsidR="006B180A" w:rsidRPr="000F61EE">
        <w:rPr>
          <w:rFonts w:ascii="Tahoma" w:hAnsi="Tahoma" w:cs="Tahoma"/>
          <w:sz w:val="24"/>
          <w:szCs w:val="24"/>
        </w:rPr>
        <w:t>à propos de violations de la Convention dans la région transnistrienne de Moldova</w:t>
      </w:r>
      <w:r w:rsidR="00020574" w:rsidRPr="000F61EE">
        <w:rPr>
          <w:rFonts w:ascii="Tahoma" w:hAnsi="Tahoma" w:cs="Tahoma"/>
          <w:sz w:val="24"/>
          <w:szCs w:val="24"/>
        </w:rPr>
        <w:t>, où</w:t>
      </w:r>
      <w:r w:rsidR="006B180A" w:rsidRPr="000F61EE">
        <w:rPr>
          <w:rFonts w:ascii="Tahoma" w:hAnsi="Tahoma" w:cs="Tahoma"/>
          <w:sz w:val="24"/>
          <w:szCs w:val="24"/>
        </w:rPr>
        <w:t xml:space="preserve"> la </w:t>
      </w:r>
      <w:r w:rsidR="00020574" w:rsidRPr="000F61EE">
        <w:rPr>
          <w:rFonts w:ascii="Tahoma" w:hAnsi="Tahoma" w:cs="Tahoma"/>
          <w:sz w:val="24"/>
          <w:szCs w:val="24"/>
        </w:rPr>
        <w:t>C</w:t>
      </w:r>
      <w:r w:rsidR="006B180A" w:rsidRPr="000F61EE">
        <w:rPr>
          <w:rFonts w:ascii="Tahoma" w:hAnsi="Tahoma" w:cs="Tahoma"/>
          <w:sz w:val="24"/>
          <w:szCs w:val="24"/>
        </w:rPr>
        <w:t>our a con</w:t>
      </w:r>
      <w:r w:rsidR="00020574" w:rsidRPr="000F61EE">
        <w:rPr>
          <w:rFonts w:ascii="Tahoma" w:hAnsi="Tahoma" w:cs="Tahoma"/>
          <w:sz w:val="24"/>
          <w:szCs w:val="24"/>
        </w:rPr>
        <w:t>clu à la responsabilité non seu</w:t>
      </w:r>
      <w:r w:rsidR="006B180A" w:rsidRPr="000F61EE">
        <w:rPr>
          <w:rFonts w:ascii="Tahoma" w:hAnsi="Tahoma" w:cs="Tahoma"/>
          <w:sz w:val="24"/>
          <w:szCs w:val="24"/>
        </w:rPr>
        <w:t xml:space="preserve">lement de la </w:t>
      </w:r>
      <w:r w:rsidR="00020574" w:rsidRPr="000F61EE">
        <w:rPr>
          <w:rFonts w:ascii="Tahoma" w:hAnsi="Tahoma" w:cs="Tahoma"/>
          <w:sz w:val="24"/>
          <w:szCs w:val="24"/>
        </w:rPr>
        <w:t xml:space="preserve">République de </w:t>
      </w:r>
      <w:r w:rsidR="006B180A" w:rsidRPr="000F61EE">
        <w:rPr>
          <w:rFonts w:ascii="Tahoma" w:hAnsi="Tahoma" w:cs="Tahoma"/>
          <w:sz w:val="24"/>
          <w:szCs w:val="24"/>
        </w:rPr>
        <w:t>Moldova, mais aussi de la Fédérati</w:t>
      </w:r>
      <w:r w:rsidR="00020574" w:rsidRPr="000F61EE">
        <w:rPr>
          <w:rFonts w:ascii="Tahoma" w:hAnsi="Tahoma" w:cs="Tahoma"/>
          <w:sz w:val="24"/>
          <w:szCs w:val="24"/>
        </w:rPr>
        <w:t>on d</w:t>
      </w:r>
      <w:r w:rsidR="006B180A" w:rsidRPr="000F61EE">
        <w:rPr>
          <w:rFonts w:ascii="Tahoma" w:hAnsi="Tahoma" w:cs="Tahoma"/>
          <w:sz w:val="24"/>
          <w:szCs w:val="24"/>
        </w:rPr>
        <w:t xml:space="preserve">e Russie, au nom du </w:t>
      </w:r>
      <w:r w:rsidR="004A13A3" w:rsidRPr="000F61EE">
        <w:rPr>
          <w:rFonts w:ascii="Tahoma" w:hAnsi="Tahoma" w:cs="Tahoma"/>
          <w:sz w:val="24"/>
          <w:szCs w:val="24"/>
        </w:rPr>
        <w:t>« </w:t>
      </w:r>
      <w:r w:rsidR="006B180A" w:rsidRPr="000F61EE">
        <w:rPr>
          <w:rFonts w:ascii="Tahoma" w:hAnsi="Tahoma" w:cs="Tahoma"/>
          <w:sz w:val="24"/>
          <w:szCs w:val="24"/>
        </w:rPr>
        <w:t>contrôle effectif</w:t>
      </w:r>
      <w:r w:rsidR="004A13A3" w:rsidRPr="000F61EE">
        <w:rPr>
          <w:rFonts w:ascii="Tahoma" w:hAnsi="Tahoma" w:cs="Tahoma"/>
          <w:sz w:val="24"/>
          <w:szCs w:val="24"/>
        </w:rPr>
        <w:t> »</w:t>
      </w:r>
      <w:r w:rsidR="006B180A" w:rsidRPr="000F61EE">
        <w:rPr>
          <w:rFonts w:ascii="Tahoma" w:hAnsi="Tahoma" w:cs="Tahoma"/>
          <w:sz w:val="24"/>
          <w:szCs w:val="24"/>
        </w:rPr>
        <w:t xml:space="preserve"> qu’elle exerce</w:t>
      </w:r>
      <w:r w:rsidR="004A13A3" w:rsidRPr="000F61EE">
        <w:rPr>
          <w:rFonts w:ascii="Tahoma" w:hAnsi="Tahoma" w:cs="Tahoma"/>
          <w:sz w:val="24"/>
          <w:szCs w:val="24"/>
        </w:rPr>
        <w:t xml:space="preserve"> sur cette région, ce que contest</w:t>
      </w:r>
      <w:r w:rsidR="006B180A" w:rsidRPr="000F61EE">
        <w:rPr>
          <w:rFonts w:ascii="Tahoma" w:hAnsi="Tahoma" w:cs="Tahoma"/>
          <w:sz w:val="24"/>
          <w:szCs w:val="24"/>
        </w:rPr>
        <w:t xml:space="preserve">ent les autorités russes. </w:t>
      </w:r>
      <w:r>
        <w:rPr>
          <w:rFonts w:ascii="Tahoma" w:hAnsi="Tahoma" w:cs="Tahoma"/>
          <w:sz w:val="24"/>
          <w:szCs w:val="24"/>
        </w:rPr>
        <w:t>Cette notion de « contrôle effectif », qui peut recouvrir différents cas de figure dans la pratique, soulève des questions complexes et politiquement très sensibles auquel se heurte le processus d’exécution.</w:t>
      </w:r>
    </w:p>
    <w:p w:rsidR="00020574" w:rsidRPr="000F61EE" w:rsidRDefault="00020574" w:rsidP="00A92571">
      <w:pPr>
        <w:spacing w:line="360" w:lineRule="auto"/>
        <w:jc w:val="both"/>
        <w:rPr>
          <w:rFonts w:ascii="Tahoma" w:hAnsi="Tahoma" w:cs="Tahoma"/>
          <w:sz w:val="24"/>
          <w:szCs w:val="24"/>
        </w:rPr>
      </w:pPr>
      <w:r w:rsidRPr="000F61EE">
        <w:rPr>
          <w:rFonts w:ascii="Tahoma" w:hAnsi="Tahoma" w:cs="Tahoma"/>
          <w:sz w:val="24"/>
          <w:szCs w:val="24"/>
        </w:rPr>
        <w:t>Dans ce type d’affaires, car il y en a d’autres, le chemin de l’exécution est long et difficil</w:t>
      </w:r>
      <w:r w:rsidR="003C410D" w:rsidRPr="000F61EE">
        <w:rPr>
          <w:rFonts w:ascii="Tahoma" w:hAnsi="Tahoma" w:cs="Tahoma"/>
          <w:sz w:val="24"/>
          <w:szCs w:val="24"/>
        </w:rPr>
        <w:t>e et parsemé d’embûches. L</w:t>
      </w:r>
      <w:r w:rsidRPr="000F61EE">
        <w:rPr>
          <w:rFonts w:ascii="Tahoma" w:hAnsi="Tahoma" w:cs="Tahoma"/>
          <w:sz w:val="24"/>
          <w:szCs w:val="24"/>
        </w:rPr>
        <w:t>a volonté politique d’exécuter un arrêt est en dernier recours le seul moyen d’obtenir l’exécution de l‘arrêt. J’en prendrai pour exemple les mesures prises par les autorités britanniques, apr</w:t>
      </w:r>
      <w:r w:rsidR="003C410D" w:rsidRPr="000F61EE">
        <w:rPr>
          <w:rFonts w:ascii="Tahoma" w:hAnsi="Tahoma" w:cs="Tahoma"/>
          <w:sz w:val="24"/>
          <w:szCs w:val="24"/>
        </w:rPr>
        <w:t>ès de longues années, pour accorder le droit de vote à</w:t>
      </w:r>
      <w:r w:rsidRPr="000F61EE">
        <w:rPr>
          <w:rFonts w:ascii="Tahoma" w:hAnsi="Tahoma" w:cs="Tahoma"/>
          <w:sz w:val="24"/>
          <w:szCs w:val="24"/>
        </w:rPr>
        <w:t xml:space="preserve"> cer</w:t>
      </w:r>
      <w:r w:rsidR="0092265C" w:rsidRPr="000F61EE">
        <w:rPr>
          <w:rFonts w:ascii="Tahoma" w:hAnsi="Tahoma" w:cs="Tahoma"/>
          <w:sz w:val="24"/>
          <w:szCs w:val="24"/>
        </w:rPr>
        <w:t xml:space="preserve">taines catégories de détenus </w:t>
      </w:r>
      <w:r w:rsidRPr="000F61EE">
        <w:rPr>
          <w:rFonts w:ascii="Tahoma" w:hAnsi="Tahoma" w:cs="Tahoma"/>
          <w:sz w:val="24"/>
          <w:szCs w:val="24"/>
        </w:rPr>
        <w:t>en répo</w:t>
      </w:r>
      <w:r w:rsidR="0092265C" w:rsidRPr="000F61EE">
        <w:rPr>
          <w:rFonts w:ascii="Tahoma" w:hAnsi="Tahoma" w:cs="Tahoma"/>
          <w:sz w:val="24"/>
          <w:szCs w:val="24"/>
        </w:rPr>
        <w:t>nse à l’arrêt de l</w:t>
      </w:r>
      <w:r w:rsidR="00F94542" w:rsidRPr="000F61EE">
        <w:rPr>
          <w:rFonts w:ascii="Tahoma" w:hAnsi="Tahoma" w:cs="Tahoma"/>
          <w:sz w:val="24"/>
          <w:szCs w:val="24"/>
        </w:rPr>
        <w:t>a Cour dans le groupe d’affaires</w:t>
      </w:r>
      <w:r w:rsidRPr="000F61EE">
        <w:rPr>
          <w:rFonts w:ascii="Tahoma" w:hAnsi="Tahoma" w:cs="Tahoma"/>
          <w:sz w:val="24"/>
          <w:szCs w:val="24"/>
        </w:rPr>
        <w:t xml:space="preserve"> Hirst</w:t>
      </w:r>
      <w:r w:rsidR="00F94542" w:rsidRPr="000F61EE">
        <w:rPr>
          <w:rFonts w:ascii="Tahoma" w:hAnsi="Tahoma" w:cs="Tahoma"/>
          <w:sz w:val="24"/>
          <w:szCs w:val="24"/>
        </w:rPr>
        <w:t xml:space="preserve"> </w:t>
      </w:r>
      <w:r w:rsidR="0092265C" w:rsidRPr="000F61EE">
        <w:rPr>
          <w:rFonts w:ascii="Tahoma" w:hAnsi="Tahoma" w:cs="Tahoma"/>
          <w:sz w:val="24"/>
          <w:szCs w:val="24"/>
        </w:rPr>
        <w:t>c. Royaume-Uni</w:t>
      </w:r>
      <w:r w:rsidRPr="000F61EE">
        <w:rPr>
          <w:rFonts w:ascii="Tahoma" w:hAnsi="Tahoma" w:cs="Tahoma"/>
          <w:sz w:val="24"/>
          <w:szCs w:val="24"/>
        </w:rPr>
        <w:t xml:space="preserve">. </w:t>
      </w:r>
      <w:r w:rsidR="00CF55F1" w:rsidRPr="000F61EE">
        <w:rPr>
          <w:rFonts w:ascii="Tahoma" w:hAnsi="Tahoma" w:cs="Tahoma"/>
          <w:sz w:val="24"/>
          <w:szCs w:val="24"/>
        </w:rPr>
        <w:t>Ce n’est finalement qu’e</w:t>
      </w:r>
      <w:r w:rsidR="0092265C" w:rsidRPr="000F61EE">
        <w:rPr>
          <w:rFonts w:ascii="Tahoma" w:hAnsi="Tahoma" w:cs="Tahoma"/>
          <w:sz w:val="24"/>
          <w:szCs w:val="24"/>
        </w:rPr>
        <w:t xml:space="preserve">n décembre de l’année dernière, alors que le premier </w:t>
      </w:r>
      <w:r w:rsidR="00CF55F1" w:rsidRPr="000F61EE">
        <w:rPr>
          <w:rFonts w:ascii="Tahoma" w:hAnsi="Tahoma" w:cs="Tahoma"/>
          <w:sz w:val="24"/>
          <w:szCs w:val="24"/>
        </w:rPr>
        <w:t xml:space="preserve">arrêt </w:t>
      </w:r>
      <w:r w:rsidR="0092265C" w:rsidRPr="000F61EE">
        <w:rPr>
          <w:rFonts w:ascii="Tahoma" w:hAnsi="Tahoma" w:cs="Tahoma"/>
          <w:sz w:val="24"/>
          <w:szCs w:val="24"/>
        </w:rPr>
        <w:t>dans Hirst 2 datait de 2005</w:t>
      </w:r>
      <w:r w:rsidR="00CF55F1" w:rsidRPr="000F61EE">
        <w:rPr>
          <w:rFonts w:ascii="Tahoma" w:hAnsi="Tahoma" w:cs="Tahoma"/>
          <w:sz w:val="24"/>
          <w:szCs w:val="24"/>
        </w:rPr>
        <w:t xml:space="preserve">, </w:t>
      </w:r>
      <w:r w:rsidR="0092265C" w:rsidRPr="000F61EE">
        <w:rPr>
          <w:rFonts w:ascii="Tahoma" w:hAnsi="Tahoma" w:cs="Tahoma"/>
          <w:sz w:val="24"/>
          <w:szCs w:val="24"/>
        </w:rPr>
        <w:t xml:space="preserve">soit après 12 ans, </w:t>
      </w:r>
      <w:r w:rsidR="00CF55F1" w:rsidRPr="000F61EE">
        <w:rPr>
          <w:rFonts w:ascii="Tahoma" w:hAnsi="Tahoma" w:cs="Tahoma"/>
          <w:sz w:val="24"/>
          <w:szCs w:val="24"/>
        </w:rPr>
        <w:t xml:space="preserve">que le Comité des Ministres a </w:t>
      </w:r>
      <w:r w:rsidR="00633040" w:rsidRPr="000F61EE">
        <w:rPr>
          <w:rFonts w:ascii="Tahoma" w:hAnsi="Tahoma" w:cs="Tahoma"/>
          <w:sz w:val="24"/>
          <w:szCs w:val="24"/>
        </w:rPr>
        <w:t>conclu que les mesures qui lui étaient présentées répondaient aux arrêts de la Cour.</w:t>
      </w:r>
    </w:p>
    <w:p w:rsidR="00E267DB" w:rsidRDefault="00E267DB">
      <w:pPr>
        <w:rPr>
          <w:rFonts w:ascii="Tahoma" w:hAnsi="Tahoma" w:cs="Tahoma"/>
          <w:sz w:val="24"/>
          <w:szCs w:val="24"/>
        </w:rPr>
      </w:pPr>
      <w:r>
        <w:rPr>
          <w:rFonts w:ascii="Tahoma" w:hAnsi="Tahoma" w:cs="Tahoma"/>
          <w:sz w:val="24"/>
          <w:szCs w:val="24"/>
        </w:rPr>
        <w:br w:type="page"/>
      </w:r>
    </w:p>
    <w:p w:rsidR="00616D3F" w:rsidRPr="000F61EE" w:rsidRDefault="001955C7" w:rsidP="00A92571">
      <w:pPr>
        <w:spacing w:line="360" w:lineRule="auto"/>
        <w:jc w:val="both"/>
        <w:rPr>
          <w:rFonts w:ascii="Tahoma" w:hAnsi="Tahoma" w:cs="Tahoma"/>
          <w:sz w:val="24"/>
          <w:szCs w:val="24"/>
        </w:rPr>
      </w:pPr>
      <w:r w:rsidRPr="000F61EE">
        <w:rPr>
          <w:rFonts w:ascii="Tahoma" w:hAnsi="Tahoma" w:cs="Tahoma"/>
          <w:sz w:val="24"/>
          <w:szCs w:val="24"/>
        </w:rPr>
        <w:lastRenderedPageBreak/>
        <w:t>La volonté d’exécuter est d’autant plus importante que les moyens d’action du Comité des Ministres pour obtenir l’exécution des</w:t>
      </w:r>
      <w:r w:rsidR="003C410D" w:rsidRPr="000F61EE">
        <w:rPr>
          <w:rFonts w:ascii="Tahoma" w:hAnsi="Tahoma" w:cs="Tahoma"/>
          <w:sz w:val="24"/>
          <w:szCs w:val="24"/>
        </w:rPr>
        <w:t xml:space="preserve"> arrêts sont limités</w:t>
      </w:r>
      <w:r w:rsidRPr="000F61EE">
        <w:rPr>
          <w:rFonts w:ascii="Tahoma" w:hAnsi="Tahoma" w:cs="Tahoma"/>
          <w:sz w:val="24"/>
          <w:szCs w:val="24"/>
        </w:rPr>
        <w:t>. Le premier de ces moyens est la pression entre pair</w:t>
      </w:r>
      <w:r w:rsidR="003C410D" w:rsidRPr="000F61EE">
        <w:rPr>
          <w:rFonts w:ascii="Tahoma" w:hAnsi="Tahoma" w:cs="Tahoma"/>
          <w:sz w:val="24"/>
          <w:szCs w:val="24"/>
        </w:rPr>
        <w:t>s</w:t>
      </w:r>
      <w:r w:rsidRPr="000F61EE">
        <w:rPr>
          <w:rFonts w:ascii="Tahoma" w:hAnsi="Tahoma" w:cs="Tahoma"/>
          <w:sz w:val="24"/>
          <w:szCs w:val="24"/>
        </w:rPr>
        <w:t xml:space="preserve"> exercée </w:t>
      </w:r>
      <w:r w:rsidR="00E267DB">
        <w:rPr>
          <w:rFonts w:ascii="Tahoma" w:hAnsi="Tahoma" w:cs="Tahoma"/>
          <w:sz w:val="24"/>
          <w:szCs w:val="24"/>
        </w:rPr>
        <w:t xml:space="preserve">notamment </w:t>
      </w:r>
      <w:r w:rsidRPr="000F61EE">
        <w:rPr>
          <w:rFonts w:ascii="Tahoma" w:hAnsi="Tahoma" w:cs="Tahoma"/>
          <w:sz w:val="24"/>
          <w:szCs w:val="24"/>
        </w:rPr>
        <w:t>à travers les questions posées pendant les réunions Droits de l’Homme sur l’état d’exécution des arrêts et les mesures concrète</w:t>
      </w:r>
      <w:r w:rsidR="00E267DB">
        <w:rPr>
          <w:rFonts w:ascii="Tahoma" w:hAnsi="Tahoma" w:cs="Tahoma"/>
          <w:sz w:val="24"/>
          <w:szCs w:val="24"/>
        </w:rPr>
        <w:t>s envisagées pour y répondre. Un</w:t>
      </w:r>
      <w:r w:rsidRPr="000F61EE">
        <w:rPr>
          <w:rFonts w:ascii="Tahoma" w:hAnsi="Tahoma" w:cs="Tahoma"/>
          <w:sz w:val="24"/>
          <w:szCs w:val="24"/>
        </w:rPr>
        <w:t xml:space="preserve"> deuxième instrumen</w:t>
      </w:r>
      <w:r w:rsidR="00616D3F" w:rsidRPr="000F61EE">
        <w:rPr>
          <w:rFonts w:ascii="Tahoma" w:hAnsi="Tahoma" w:cs="Tahoma"/>
          <w:sz w:val="24"/>
          <w:szCs w:val="24"/>
        </w:rPr>
        <w:t>t sont les décisions adoptées p</w:t>
      </w:r>
      <w:r w:rsidRPr="000F61EE">
        <w:rPr>
          <w:rFonts w:ascii="Tahoma" w:hAnsi="Tahoma" w:cs="Tahoma"/>
          <w:sz w:val="24"/>
          <w:szCs w:val="24"/>
        </w:rPr>
        <w:t>ar le Comité au c</w:t>
      </w:r>
      <w:r w:rsidR="00616D3F" w:rsidRPr="000F61EE">
        <w:rPr>
          <w:rFonts w:ascii="Tahoma" w:hAnsi="Tahoma" w:cs="Tahoma"/>
          <w:sz w:val="24"/>
          <w:szCs w:val="24"/>
        </w:rPr>
        <w:t>ours de ces réunions, qui pointent les avancées mai</w:t>
      </w:r>
      <w:r w:rsidRPr="000F61EE">
        <w:rPr>
          <w:rFonts w:ascii="Tahoma" w:hAnsi="Tahoma" w:cs="Tahoma"/>
          <w:sz w:val="24"/>
          <w:szCs w:val="24"/>
        </w:rPr>
        <w:t xml:space="preserve">s aussi les lacunes </w:t>
      </w:r>
      <w:r w:rsidR="00616D3F" w:rsidRPr="000F61EE">
        <w:rPr>
          <w:rFonts w:ascii="Tahoma" w:hAnsi="Tahoma" w:cs="Tahoma"/>
          <w:sz w:val="24"/>
          <w:szCs w:val="24"/>
        </w:rPr>
        <w:t>et déficiences éventuelles</w:t>
      </w:r>
      <w:r w:rsidR="002E5FF9" w:rsidRPr="000F61EE">
        <w:rPr>
          <w:rFonts w:ascii="Tahoma" w:hAnsi="Tahoma" w:cs="Tahoma"/>
          <w:sz w:val="24"/>
          <w:szCs w:val="24"/>
        </w:rPr>
        <w:t xml:space="preserve"> dans l’exécution des arrêts de la Cour</w:t>
      </w:r>
      <w:r w:rsidR="00616D3F" w:rsidRPr="000F61EE">
        <w:rPr>
          <w:rFonts w:ascii="Tahoma" w:hAnsi="Tahoma" w:cs="Tahoma"/>
          <w:sz w:val="24"/>
          <w:szCs w:val="24"/>
        </w:rPr>
        <w:t>. Ces décisions étant publiques, il n’est jamais agréable pour un Etat de voir ces problèmes</w:t>
      </w:r>
      <w:r w:rsidR="00F94542" w:rsidRPr="000F61EE">
        <w:rPr>
          <w:rFonts w:ascii="Tahoma" w:hAnsi="Tahoma" w:cs="Tahoma"/>
          <w:sz w:val="24"/>
          <w:szCs w:val="24"/>
        </w:rPr>
        <w:t xml:space="preserve"> exposés</w:t>
      </w:r>
      <w:r w:rsidR="00616D3F" w:rsidRPr="000F61EE">
        <w:rPr>
          <w:rFonts w:ascii="Tahoma" w:hAnsi="Tahoma" w:cs="Tahoma"/>
          <w:sz w:val="24"/>
          <w:szCs w:val="24"/>
        </w:rPr>
        <w:t>. Parmi les décisions</w:t>
      </w:r>
      <w:r w:rsidR="003C410D" w:rsidRPr="000F61EE">
        <w:rPr>
          <w:rFonts w:ascii="Tahoma" w:hAnsi="Tahoma" w:cs="Tahoma"/>
          <w:sz w:val="24"/>
          <w:szCs w:val="24"/>
        </w:rPr>
        <w:t xml:space="preserve"> adoptées par le Comité des Ministres</w:t>
      </w:r>
      <w:r w:rsidR="00616D3F" w:rsidRPr="000F61EE">
        <w:rPr>
          <w:rFonts w:ascii="Tahoma" w:hAnsi="Tahoma" w:cs="Tahoma"/>
          <w:sz w:val="24"/>
          <w:szCs w:val="24"/>
        </w:rPr>
        <w:t>, je voudrais évoquer le cas particulier des Résolutions intérimaires qu</w:t>
      </w:r>
      <w:r w:rsidR="003C410D" w:rsidRPr="000F61EE">
        <w:rPr>
          <w:rFonts w:ascii="Tahoma" w:hAnsi="Tahoma" w:cs="Tahoma"/>
          <w:sz w:val="24"/>
          <w:szCs w:val="24"/>
        </w:rPr>
        <w:t xml:space="preserve">e le Comité </w:t>
      </w:r>
      <w:r w:rsidR="00616D3F" w:rsidRPr="000F61EE">
        <w:rPr>
          <w:rFonts w:ascii="Tahoma" w:hAnsi="Tahoma" w:cs="Tahoma"/>
          <w:sz w:val="24"/>
          <w:szCs w:val="24"/>
        </w:rPr>
        <w:t>adopte ponctuellement, lorsque le processus d’exécution lui paraît manifestement et gravement déficient, pour rappeler un Etat à ses obligations. Cet outil, même s’il n’est assorti d’aucune mes</w:t>
      </w:r>
      <w:r w:rsidR="00E267DB">
        <w:rPr>
          <w:rFonts w:ascii="Tahoma" w:hAnsi="Tahoma" w:cs="Tahoma"/>
          <w:sz w:val="24"/>
          <w:szCs w:val="24"/>
        </w:rPr>
        <w:t>ure de contrainte, s’avère souvent</w:t>
      </w:r>
      <w:r w:rsidR="00616D3F" w:rsidRPr="000F61EE">
        <w:rPr>
          <w:rFonts w:ascii="Tahoma" w:hAnsi="Tahoma" w:cs="Tahoma"/>
          <w:sz w:val="24"/>
          <w:szCs w:val="24"/>
        </w:rPr>
        <w:t xml:space="preserve"> efficace de par </w:t>
      </w:r>
      <w:r w:rsidR="00165EE6" w:rsidRPr="000F61EE">
        <w:rPr>
          <w:rFonts w:ascii="Tahoma" w:hAnsi="Tahoma" w:cs="Tahoma"/>
          <w:sz w:val="24"/>
          <w:szCs w:val="24"/>
        </w:rPr>
        <w:t xml:space="preserve">la </w:t>
      </w:r>
      <w:r w:rsidR="00616D3F" w:rsidRPr="000F61EE">
        <w:rPr>
          <w:rFonts w:ascii="Tahoma" w:hAnsi="Tahoma" w:cs="Tahoma"/>
          <w:sz w:val="24"/>
          <w:szCs w:val="24"/>
        </w:rPr>
        <w:t>solennité de la position</w:t>
      </w:r>
      <w:r w:rsidR="003C410D" w:rsidRPr="000F61EE">
        <w:rPr>
          <w:rFonts w:ascii="Tahoma" w:hAnsi="Tahoma" w:cs="Tahoma"/>
          <w:sz w:val="24"/>
          <w:szCs w:val="24"/>
        </w:rPr>
        <w:t xml:space="preserve"> </w:t>
      </w:r>
      <w:r w:rsidR="00616D3F" w:rsidRPr="000F61EE">
        <w:rPr>
          <w:rFonts w:ascii="Tahoma" w:hAnsi="Tahoma" w:cs="Tahoma"/>
          <w:sz w:val="24"/>
          <w:szCs w:val="24"/>
        </w:rPr>
        <w:t>qu’il exprime</w:t>
      </w:r>
      <w:r w:rsidR="00F94542" w:rsidRPr="000F61EE">
        <w:rPr>
          <w:rFonts w:ascii="Tahoma" w:hAnsi="Tahoma" w:cs="Tahoma"/>
          <w:sz w:val="24"/>
          <w:szCs w:val="24"/>
        </w:rPr>
        <w:t xml:space="preserve"> et de la publicité qui lui est donnée</w:t>
      </w:r>
      <w:r w:rsidR="00616D3F" w:rsidRPr="000F61EE">
        <w:rPr>
          <w:rFonts w:ascii="Tahoma" w:hAnsi="Tahoma" w:cs="Tahoma"/>
          <w:sz w:val="24"/>
          <w:szCs w:val="24"/>
        </w:rPr>
        <w:t>.</w:t>
      </w:r>
    </w:p>
    <w:p w:rsidR="006A5D69" w:rsidRPr="000F61EE" w:rsidRDefault="00616D3F" w:rsidP="00A92571">
      <w:pPr>
        <w:spacing w:line="360" w:lineRule="auto"/>
        <w:jc w:val="both"/>
        <w:rPr>
          <w:rFonts w:ascii="Tahoma" w:hAnsi="Tahoma" w:cs="Tahoma"/>
          <w:sz w:val="24"/>
          <w:szCs w:val="24"/>
        </w:rPr>
      </w:pPr>
      <w:r w:rsidRPr="000F61EE">
        <w:rPr>
          <w:rFonts w:ascii="Tahoma" w:hAnsi="Tahoma" w:cs="Tahoma"/>
          <w:sz w:val="24"/>
          <w:szCs w:val="24"/>
        </w:rPr>
        <w:t>Dans le cadre des décisions prises</w:t>
      </w:r>
      <w:r w:rsidR="003C410D" w:rsidRPr="000F61EE">
        <w:rPr>
          <w:rFonts w:ascii="Tahoma" w:hAnsi="Tahoma" w:cs="Tahoma"/>
          <w:sz w:val="24"/>
          <w:szCs w:val="24"/>
        </w:rPr>
        <w:t xml:space="preserve"> par le Comité</w:t>
      </w:r>
      <w:r w:rsidRPr="000F61EE">
        <w:rPr>
          <w:rFonts w:ascii="Tahoma" w:hAnsi="Tahoma" w:cs="Tahoma"/>
          <w:sz w:val="24"/>
          <w:szCs w:val="24"/>
        </w:rPr>
        <w:t>, d’autr</w:t>
      </w:r>
      <w:r w:rsidR="003C410D" w:rsidRPr="000F61EE">
        <w:rPr>
          <w:rFonts w:ascii="Tahoma" w:hAnsi="Tahoma" w:cs="Tahoma"/>
          <w:sz w:val="24"/>
          <w:szCs w:val="24"/>
        </w:rPr>
        <w:t xml:space="preserve">es voies d’action peuvent </w:t>
      </w:r>
      <w:r w:rsidRPr="000F61EE">
        <w:rPr>
          <w:rFonts w:ascii="Tahoma" w:hAnsi="Tahoma" w:cs="Tahoma"/>
          <w:sz w:val="24"/>
          <w:szCs w:val="24"/>
        </w:rPr>
        <w:t>s’avérer utiles, comme l</w:t>
      </w:r>
      <w:r w:rsidR="003C410D" w:rsidRPr="000F61EE">
        <w:rPr>
          <w:rFonts w:ascii="Tahoma" w:hAnsi="Tahoma" w:cs="Tahoma"/>
          <w:sz w:val="24"/>
          <w:szCs w:val="24"/>
        </w:rPr>
        <w:t>’appel aux Etats membres ou au S</w:t>
      </w:r>
      <w:r w:rsidRPr="000F61EE">
        <w:rPr>
          <w:rFonts w:ascii="Tahoma" w:hAnsi="Tahoma" w:cs="Tahoma"/>
          <w:sz w:val="24"/>
          <w:szCs w:val="24"/>
        </w:rPr>
        <w:t>ecrétaire G</w:t>
      </w:r>
      <w:r w:rsidR="00517129" w:rsidRPr="000F61EE">
        <w:rPr>
          <w:rFonts w:ascii="Tahoma" w:hAnsi="Tahoma" w:cs="Tahoma"/>
          <w:sz w:val="24"/>
          <w:szCs w:val="24"/>
        </w:rPr>
        <w:t xml:space="preserve">énéral du Conseil de l’Europe à </w:t>
      </w:r>
      <w:r w:rsidRPr="000F61EE">
        <w:rPr>
          <w:rFonts w:ascii="Tahoma" w:hAnsi="Tahoma" w:cs="Tahoma"/>
          <w:sz w:val="24"/>
          <w:szCs w:val="24"/>
        </w:rPr>
        <w:t>entreprendre des démarches auprès des aut</w:t>
      </w:r>
      <w:r w:rsidR="003C410D" w:rsidRPr="000F61EE">
        <w:rPr>
          <w:rFonts w:ascii="Tahoma" w:hAnsi="Tahoma" w:cs="Tahoma"/>
          <w:sz w:val="24"/>
          <w:szCs w:val="24"/>
        </w:rPr>
        <w:t>orités de l’E</w:t>
      </w:r>
      <w:r w:rsidRPr="000F61EE">
        <w:rPr>
          <w:rFonts w:ascii="Tahoma" w:hAnsi="Tahoma" w:cs="Tahoma"/>
          <w:sz w:val="24"/>
          <w:szCs w:val="24"/>
        </w:rPr>
        <w:t>tat concerné pour appeler à l’exécution de tel ou tel arrêt.</w:t>
      </w:r>
      <w:r w:rsidR="00B979B9" w:rsidRPr="000F61EE">
        <w:rPr>
          <w:rFonts w:ascii="Tahoma" w:hAnsi="Tahoma" w:cs="Tahoma"/>
          <w:sz w:val="24"/>
          <w:szCs w:val="24"/>
        </w:rPr>
        <w:t xml:space="preserve"> Ces déma</w:t>
      </w:r>
      <w:r w:rsidR="003C410D" w:rsidRPr="000F61EE">
        <w:rPr>
          <w:rFonts w:ascii="Tahoma" w:hAnsi="Tahoma" w:cs="Tahoma"/>
          <w:sz w:val="24"/>
          <w:szCs w:val="24"/>
        </w:rPr>
        <w:t>rches de caractère diplomatique</w:t>
      </w:r>
      <w:r w:rsidR="00B979B9" w:rsidRPr="000F61EE">
        <w:rPr>
          <w:rFonts w:ascii="Tahoma" w:hAnsi="Tahoma" w:cs="Tahoma"/>
          <w:sz w:val="24"/>
          <w:szCs w:val="24"/>
        </w:rPr>
        <w:t xml:space="preserve"> peuvent avoir un impact, surtout si elles sont concertées.</w:t>
      </w:r>
      <w:r w:rsidR="001E016B" w:rsidRPr="000F61EE">
        <w:rPr>
          <w:rFonts w:ascii="Tahoma" w:hAnsi="Tahoma" w:cs="Tahoma"/>
          <w:sz w:val="24"/>
          <w:szCs w:val="24"/>
        </w:rPr>
        <w:t xml:space="preserve"> </w:t>
      </w:r>
    </w:p>
    <w:p w:rsidR="00616D3F" w:rsidRPr="000F61EE" w:rsidRDefault="001E016B" w:rsidP="00A92571">
      <w:pPr>
        <w:spacing w:line="360" w:lineRule="auto"/>
        <w:jc w:val="both"/>
        <w:rPr>
          <w:rFonts w:ascii="Tahoma" w:hAnsi="Tahoma" w:cs="Tahoma"/>
          <w:sz w:val="24"/>
          <w:szCs w:val="24"/>
        </w:rPr>
      </w:pPr>
      <w:r w:rsidRPr="000F61EE">
        <w:rPr>
          <w:rFonts w:ascii="Tahoma" w:hAnsi="Tahoma" w:cs="Tahoma"/>
          <w:sz w:val="24"/>
          <w:szCs w:val="24"/>
        </w:rPr>
        <w:t xml:space="preserve">D’autres instances peuvent prendre </w:t>
      </w:r>
      <w:r w:rsidR="00D96FB2" w:rsidRPr="000F61EE">
        <w:rPr>
          <w:rFonts w:ascii="Tahoma" w:hAnsi="Tahoma" w:cs="Tahoma"/>
          <w:sz w:val="24"/>
          <w:szCs w:val="24"/>
        </w:rPr>
        <w:t xml:space="preserve">part </w:t>
      </w:r>
      <w:r w:rsidR="00D94814" w:rsidRPr="000F61EE">
        <w:rPr>
          <w:rFonts w:ascii="Tahoma" w:hAnsi="Tahoma" w:cs="Tahoma"/>
          <w:sz w:val="24"/>
          <w:szCs w:val="24"/>
        </w:rPr>
        <w:t>à ces intervention</w:t>
      </w:r>
      <w:r w:rsidRPr="000F61EE">
        <w:rPr>
          <w:rFonts w:ascii="Tahoma" w:hAnsi="Tahoma" w:cs="Tahoma"/>
          <w:sz w:val="24"/>
          <w:szCs w:val="24"/>
        </w:rPr>
        <w:t>s auprès des autorités nationales. Je pense en particulier au Commissaire aux Droits de l’Homme et à l’Assemblée parlementaire au sein du Conseil de l’</w:t>
      </w:r>
      <w:r w:rsidR="00D94814" w:rsidRPr="000F61EE">
        <w:rPr>
          <w:rFonts w:ascii="Tahoma" w:hAnsi="Tahoma" w:cs="Tahoma"/>
          <w:sz w:val="24"/>
          <w:szCs w:val="24"/>
        </w:rPr>
        <w:t xml:space="preserve">Europe et, en dehors du Conseil de l’Europe, à l’appui </w:t>
      </w:r>
      <w:r w:rsidRPr="000F61EE">
        <w:rPr>
          <w:rFonts w:ascii="Tahoma" w:hAnsi="Tahoma" w:cs="Tahoma"/>
          <w:sz w:val="24"/>
          <w:szCs w:val="24"/>
        </w:rPr>
        <w:t xml:space="preserve">apporté </w:t>
      </w:r>
      <w:r w:rsidR="00F94542" w:rsidRPr="000F61EE">
        <w:rPr>
          <w:rFonts w:ascii="Tahoma" w:hAnsi="Tahoma" w:cs="Tahoma"/>
          <w:sz w:val="24"/>
          <w:szCs w:val="24"/>
        </w:rPr>
        <w:t xml:space="preserve">à l’occasion </w:t>
      </w:r>
      <w:r w:rsidRPr="000F61EE">
        <w:rPr>
          <w:rFonts w:ascii="Tahoma" w:hAnsi="Tahoma" w:cs="Tahoma"/>
          <w:sz w:val="24"/>
          <w:szCs w:val="24"/>
        </w:rPr>
        <w:t>par l’Union e</w:t>
      </w:r>
      <w:r w:rsidR="00517129" w:rsidRPr="000F61EE">
        <w:rPr>
          <w:rFonts w:ascii="Tahoma" w:hAnsi="Tahoma" w:cs="Tahoma"/>
          <w:sz w:val="24"/>
          <w:szCs w:val="24"/>
        </w:rPr>
        <w:t>u</w:t>
      </w:r>
      <w:r w:rsidRPr="000F61EE">
        <w:rPr>
          <w:rFonts w:ascii="Tahoma" w:hAnsi="Tahoma" w:cs="Tahoma"/>
          <w:sz w:val="24"/>
          <w:szCs w:val="24"/>
        </w:rPr>
        <w:t>ropéenne.</w:t>
      </w:r>
      <w:r w:rsidR="00D94814" w:rsidRPr="000F61EE">
        <w:rPr>
          <w:rFonts w:ascii="Tahoma" w:hAnsi="Tahoma" w:cs="Tahoma"/>
          <w:sz w:val="24"/>
          <w:szCs w:val="24"/>
        </w:rPr>
        <w:t xml:space="preserve"> Je citerai par exemple les initiatives politiques fortes menées il y a quelques années</w:t>
      </w:r>
      <w:r w:rsidR="00336CD5" w:rsidRPr="000F61EE">
        <w:rPr>
          <w:rFonts w:ascii="Tahoma" w:hAnsi="Tahoma" w:cs="Tahoma"/>
          <w:sz w:val="24"/>
          <w:szCs w:val="24"/>
        </w:rPr>
        <w:t xml:space="preserve"> par la Commission européenne</w:t>
      </w:r>
      <w:r w:rsidR="00D94814" w:rsidRPr="000F61EE">
        <w:rPr>
          <w:rFonts w:ascii="Tahoma" w:hAnsi="Tahoma" w:cs="Tahoma"/>
          <w:sz w:val="24"/>
          <w:szCs w:val="24"/>
        </w:rPr>
        <w:t xml:space="preserve">, malheureusement sans résultats, </w:t>
      </w:r>
      <w:r w:rsidR="00336CD5" w:rsidRPr="000F61EE">
        <w:rPr>
          <w:rFonts w:ascii="Tahoma" w:hAnsi="Tahoma" w:cs="Tahoma"/>
          <w:sz w:val="24"/>
          <w:szCs w:val="24"/>
        </w:rPr>
        <w:t xml:space="preserve">auprès des autorités de Bosnie-Herzégovine, dans le cadre des négociations de pré-adhésion de ce pays à l’Union européenne, en vue de l’exécution de l’arrêt de la Cour européenne des Droits de l’Homme dans l’affaire </w:t>
      </w:r>
      <w:proofErr w:type="spellStart"/>
      <w:r w:rsidR="00336CD5" w:rsidRPr="000F61EE">
        <w:rPr>
          <w:rFonts w:ascii="Tahoma" w:hAnsi="Tahoma" w:cs="Tahoma"/>
          <w:sz w:val="24"/>
          <w:szCs w:val="24"/>
        </w:rPr>
        <w:t>Sejdic</w:t>
      </w:r>
      <w:proofErr w:type="spellEnd"/>
      <w:r w:rsidR="00336CD5" w:rsidRPr="000F61EE">
        <w:rPr>
          <w:rFonts w:ascii="Tahoma" w:hAnsi="Tahoma" w:cs="Tahoma"/>
          <w:sz w:val="24"/>
          <w:szCs w:val="24"/>
        </w:rPr>
        <w:t xml:space="preserve"> et </w:t>
      </w:r>
      <w:proofErr w:type="spellStart"/>
      <w:r w:rsidR="00336CD5" w:rsidRPr="000F61EE">
        <w:rPr>
          <w:rFonts w:ascii="Tahoma" w:hAnsi="Tahoma" w:cs="Tahoma"/>
          <w:sz w:val="24"/>
          <w:szCs w:val="24"/>
        </w:rPr>
        <w:t>Finci</w:t>
      </w:r>
      <w:proofErr w:type="spellEnd"/>
      <w:r w:rsidR="00336CD5" w:rsidRPr="000F61EE">
        <w:rPr>
          <w:rFonts w:ascii="Tahoma" w:hAnsi="Tahoma" w:cs="Tahoma"/>
          <w:sz w:val="24"/>
          <w:szCs w:val="24"/>
        </w:rPr>
        <w:t>.</w:t>
      </w:r>
    </w:p>
    <w:p w:rsidR="00E267DB" w:rsidRDefault="00E267DB">
      <w:pPr>
        <w:rPr>
          <w:rFonts w:ascii="Tahoma" w:hAnsi="Tahoma" w:cs="Tahoma"/>
          <w:sz w:val="24"/>
          <w:szCs w:val="24"/>
        </w:rPr>
      </w:pPr>
      <w:r>
        <w:rPr>
          <w:rFonts w:ascii="Tahoma" w:hAnsi="Tahoma" w:cs="Tahoma"/>
          <w:sz w:val="24"/>
          <w:szCs w:val="24"/>
        </w:rPr>
        <w:br w:type="page"/>
      </w:r>
    </w:p>
    <w:p w:rsidR="002C20DD" w:rsidRPr="000F61EE" w:rsidRDefault="00E54F8B" w:rsidP="00A92571">
      <w:pPr>
        <w:spacing w:line="360" w:lineRule="auto"/>
        <w:jc w:val="both"/>
        <w:rPr>
          <w:rFonts w:ascii="Tahoma" w:hAnsi="Tahoma" w:cs="Tahoma"/>
          <w:sz w:val="24"/>
          <w:szCs w:val="24"/>
        </w:rPr>
      </w:pPr>
      <w:r>
        <w:rPr>
          <w:rFonts w:ascii="Tahoma" w:hAnsi="Tahoma" w:cs="Tahoma"/>
          <w:sz w:val="24"/>
          <w:szCs w:val="24"/>
        </w:rPr>
        <w:lastRenderedPageBreak/>
        <w:t>Outre</w:t>
      </w:r>
      <w:r w:rsidR="00B979B9" w:rsidRPr="000F61EE">
        <w:rPr>
          <w:rFonts w:ascii="Tahoma" w:hAnsi="Tahoma" w:cs="Tahoma"/>
          <w:sz w:val="24"/>
          <w:szCs w:val="24"/>
        </w:rPr>
        <w:t xml:space="preserve"> ces actions di</w:t>
      </w:r>
      <w:r w:rsidR="00E267DB">
        <w:rPr>
          <w:rFonts w:ascii="Tahoma" w:hAnsi="Tahoma" w:cs="Tahoma"/>
          <w:sz w:val="24"/>
          <w:szCs w:val="24"/>
        </w:rPr>
        <w:t xml:space="preserve">plomatiques, le </w:t>
      </w:r>
      <w:r w:rsidR="00B979B9" w:rsidRPr="000F61EE">
        <w:rPr>
          <w:rFonts w:ascii="Tahoma" w:hAnsi="Tahoma" w:cs="Tahoma"/>
          <w:sz w:val="24"/>
          <w:szCs w:val="24"/>
        </w:rPr>
        <w:t xml:space="preserve">levier d’action dont dispose le Comité des Ministres, </w:t>
      </w:r>
      <w:r w:rsidR="00E267DB">
        <w:rPr>
          <w:rFonts w:ascii="Tahoma" w:hAnsi="Tahoma" w:cs="Tahoma"/>
          <w:sz w:val="24"/>
          <w:szCs w:val="24"/>
        </w:rPr>
        <w:t xml:space="preserve">au-delà des mesures extrêmes que peuvent être la suspension, voire l’exclusion du Conseil de l’Europe, est la procédure en manquement devant </w:t>
      </w:r>
      <w:r w:rsidR="00A27DC5">
        <w:rPr>
          <w:rFonts w:ascii="Tahoma" w:hAnsi="Tahoma" w:cs="Tahoma"/>
          <w:sz w:val="24"/>
          <w:szCs w:val="24"/>
        </w:rPr>
        <w:t>la Cou</w:t>
      </w:r>
      <w:r w:rsidR="00E267DB">
        <w:rPr>
          <w:rFonts w:ascii="Tahoma" w:hAnsi="Tahoma" w:cs="Tahoma"/>
          <w:sz w:val="24"/>
          <w:szCs w:val="24"/>
        </w:rPr>
        <w:t xml:space="preserve">r instaurée en application du Protocole n° 14. </w:t>
      </w:r>
      <w:r w:rsidR="00A27DC5">
        <w:rPr>
          <w:rFonts w:ascii="Tahoma" w:hAnsi="Tahoma" w:cs="Tahoma"/>
          <w:sz w:val="24"/>
          <w:szCs w:val="24"/>
        </w:rPr>
        <w:t xml:space="preserve">Le Comité des Ministres </w:t>
      </w:r>
      <w:r w:rsidR="00B979B9" w:rsidRPr="000F61EE">
        <w:rPr>
          <w:rFonts w:ascii="Tahoma" w:hAnsi="Tahoma" w:cs="Tahoma"/>
          <w:sz w:val="24"/>
          <w:szCs w:val="24"/>
        </w:rPr>
        <w:t xml:space="preserve">a utilisé </w:t>
      </w:r>
      <w:r w:rsidR="00A27DC5">
        <w:rPr>
          <w:rFonts w:ascii="Tahoma" w:hAnsi="Tahoma" w:cs="Tahoma"/>
          <w:sz w:val="24"/>
          <w:szCs w:val="24"/>
        </w:rPr>
        <w:t xml:space="preserve">cette compétence </w:t>
      </w:r>
      <w:r w:rsidR="00B979B9" w:rsidRPr="000F61EE">
        <w:rPr>
          <w:rFonts w:ascii="Tahoma" w:hAnsi="Tahoma" w:cs="Tahoma"/>
          <w:sz w:val="24"/>
          <w:szCs w:val="24"/>
        </w:rPr>
        <w:t>po</w:t>
      </w:r>
      <w:r w:rsidR="006E48B6" w:rsidRPr="000F61EE">
        <w:rPr>
          <w:rFonts w:ascii="Tahoma" w:hAnsi="Tahoma" w:cs="Tahoma"/>
          <w:sz w:val="24"/>
          <w:szCs w:val="24"/>
        </w:rPr>
        <w:t xml:space="preserve">ur la première fois récemment </w:t>
      </w:r>
      <w:r w:rsidR="00B979B9" w:rsidRPr="000F61EE">
        <w:rPr>
          <w:rFonts w:ascii="Tahoma" w:hAnsi="Tahoma" w:cs="Tahoma"/>
          <w:sz w:val="24"/>
          <w:szCs w:val="24"/>
        </w:rPr>
        <w:t>dans l’affair</w:t>
      </w:r>
      <w:r w:rsidR="00A27DC5">
        <w:rPr>
          <w:rFonts w:ascii="Tahoma" w:hAnsi="Tahoma" w:cs="Tahoma"/>
          <w:sz w:val="24"/>
          <w:szCs w:val="24"/>
        </w:rPr>
        <w:t xml:space="preserve">e </w:t>
      </w:r>
      <w:proofErr w:type="spellStart"/>
      <w:r w:rsidR="00A27DC5">
        <w:rPr>
          <w:rFonts w:ascii="Tahoma" w:hAnsi="Tahoma" w:cs="Tahoma"/>
          <w:sz w:val="24"/>
          <w:szCs w:val="24"/>
        </w:rPr>
        <w:t>Ilgar</w:t>
      </w:r>
      <w:proofErr w:type="spellEnd"/>
      <w:r w:rsidR="00A27DC5">
        <w:rPr>
          <w:rFonts w:ascii="Tahoma" w:hAnsi="Tahoma" w:cs="Tahoma"/>
          <w:sz w:val="24"/>
          <w:szCs w:val="24"/>
        </w:rPr>
        <w:t xml:space="preserve"> </w:t>
      </w:r>
      <w:proofErr w:type="spellStart"/>
      <w:r w:rsidR="00A27DC5">
        <w:rPr>
          <w:rFonts w:ascii="Tahoma" w:hAnsi="Tahoma" w:cs="Tahoma"/>
          <w:sz w:val="24"/>
          <w:szCs w:val="24"/>
        </w:rPr>
        <w:t>Mammadov</w:t>
      </w:r>
      <w:proofErr w:type="spellEnd"/>
      <w:r w:rsidR="00A27DC5">
        <w:rPr>
          <w:rFonts w:ascii="Tahoma" w:hAnsi="Tahoma" w:cs="Tahoma"/>
          <w:sz w:val="24"/>
          <w:szCs w:val="24"/>
        </w:rPr>
        <w:t xml:space="preserve"> c. Azerbaïdjan. Suite au refus persistant des autorités de cet Etat de procéder à la libération du requérant, un opposant politique, au vu de sa détention injustifiée, le Comité a renvoyé</w:t>
      </w:r>
      <w:r w:rsidR="00B979B9" w:rsidRPr="000F61EE">
        <w:rPr>
          <w:rFonts w:ascii="Tahoma" w:hAnsi="Tahoma" w:cs="Tahoma"/>
          <w:sz w:val="24"/>
          <w:szCs w:val="24"/>
        </w:rPr>
        <w:t xml:space="preserve"> l’affaire à la Cour européenne des droits de l’homme en application de l’article 46, paragraphe 4</w:t>
      </w:r>
      <w:r w:rsidR="006E48B6" w:rsidRPr="000F61EE">
        <w:rPr>
          <w:rStyle w:val="Rimandonotaapidipagina"/>
          <w:rFonts w:ascii="Tahoma" w:hAnsi="Tahoma" w:cs="Tahoma"/>
          <w:sz w:val="24"/>
          <w:szCs w:val="24"/>
        </w:rPr>
        <w:footnoteReference w:id="3"/>
      </w:r>
      <w:r w:rsidR="00B979B9" w:rsidRPr="000F61EE">
        <w:rPr>
          <w:rFonts w:ascii="Tahoma" w:hAnsi="Tahoma" w:cs="Tahoma"/>
          <w:sz w:val="24"/>
          <w:szCs w:val="24"/>
        </w:rPr>
        <w:t xml:space="preserve">, </w:t>
      </w:r>
      <w:r w:rsidR="00A27DC5">
        <w:rPr>
          <w:rFonts w:ascii="Tahoma" w:hAnsi="Tahoma" w:cs="Tahoma"/>
          <w:sz w:val="24"/>
          <w:szCs w:val="24"/>
        </w:rPr>
        <w:t>pour obtenir l’avis de la Cour sur la question de savoir si l’Azerbaïdjan refusait ainsi de ses conformer à un arrêt définitif de la Cour.</w:t>
      </w:r>
      <w:r w:rsidR="002926C7">
        <w:rPr>
          <w:rFonts w:ascii="Tahoma" w:hAnsi="Tahoma" w:cs="Tahoma"/>
          <w:sz w:val="24"/>
          <w:szCs w:val="24"/>
        </w:rPr>
        <w:t xml:space="preserve"> L’arrêt de la Cour est maintenant attendu. </w:t>
      </w:r>
    </w:p>
    <w:p w:rsidR="002C20DD" w:rsidRDefault="002C20DD" w:rsidP="00A92571">
      <w:pPr>
        <w:spacing w:line="360" w:lineRule="auto"/>
        <w:jc w:val="both"/>
        <w:rPr>
          <w:rFonts w:ascii="Tahoma" w:hAnsi="Tahoma" w:cs="Tahoma"/>
          <w:sz w:val="24"/>
          <w:szCs w:val="24"/>
        </w:rPr>
      </w:pPr>
      <w:r w:rsidRPr="000F61EE">
        <w:rPr>
          <w:rFonts w:ascii="Tahoma" w:hAnsi="Tahoma" w:cs="Tahoma"/>
          <w:sz w:val="24"/>
          <w:szCs w:val="24"/>
        </w:rPr>
        <w:t xml:space="preserve">La question de doter le Comité d’un pouvoir de sanction </w:t>
      </w:r>
      <w:r w:rsidR="002926C7">
        <w:rPr>
          <w:rFonts w:ascii="Tahoma" w:hAnsi="Tahoma" w:cs="Tahoma"/>
          <w:sz w:val="24"/>
          <w:szCs w:val="24"/>
        </w:rPr>
        <w:t>financière a</w:t>
      </w:r>
      <w:r w:rsidRPr="000F61EE">
        <w:rPr>
          <w:rFonts w:ascii="Tahoma" w:hAnsi="Tahoma" w:cs="Tahoma"/>
          <w:sz w:val="24"/>
          <w:szCs w:val="24"/>
        </w:rPr>
        <w:t xml:space="preserve"> été évoquée </w:t>
      </w:r>
      <w:r w:rsidR="002926C7">
        <w:rPr>
          <w:rFonts w:ascii="Tahoma" w:hAnsi="Tahoma" w:cs="Tahoma"/>
          <w:sz w:val="24"/>
          <w:szCs w:val="24"/>
        </w:rPr>
        <w:t xml:space="preserve">à diverses reprises, notamment lors de l’élaboration du Protocole n°14, sans aboutir à l’époque. Elle a été soulevée à nouveau </w:t>
      </w:r>
      <w:r w:rsidRPr="000F61EE">
        <w:rPr>
          <w:rFonts w:ascii="Tahoma" w:hAnsi="Tahoma" w:cs="Tahoma"/>
          <w:sz w:val="24"/>
          <w:szCs w:val="24"/>
        </w:rPr>
        <w:t>il y a quelques</w:t>
      </w:r>
      <w:r w:rsidR="003C410D" w:rsidRPr="000F61EE">
        <w:rPr>
          <w:rFonts w:ascii="Tahoma" w:hAnsi="Tahoma" w:cs="Tahoma"/>
          <w:sz w:val="24"/>
          <w:szCs w:val="24"/>
        </w:rPr>
        <w:t xml:space="preserve"> années, lorsque </w:t>
      </w:r>
      <w:r w:rsidRPr="000F61EE">
        <w:rPr>
          <w:rFonts w:ascii="Tahoma" w:hAnsi="Tahoma" w:cs="Tahoma"/>
          <w:sz w:val="24"/>
          <w:szCs w:val="24"/>
        </w:rPr>
        <w:t>l’exécution des arrêts était au centre des discussions dans le co</w:t>
      </w:r>
      <w:r w:rsidR="009853DD" w:rsidRPr="000F61EE">
        <w:rPr>
          <w:rFonts w:ascii="Tahoma" w:hAnsi="Tahoma" w:cs="Tahoma"/>
          <w:sz w:val="24"/>
          <w:szCs w:val="24"/>
        </w:rPr>
        <w:t>ntexte de la préparation en 2015</w:t>
      </w:r>
      <w:r w:rsidRPr="000F61EE">
        <w:rPr>
          <w:rFonts w:ascii="Tahoma" w:hAnsi="Tahoma" w:cs="Tahoma"/>
          <w:sz w:val="24"/>
          <w:szCs w:val="24"/>
        </w:rPr>
        <w:t xml:space="preserve"> d’une </w:t>
      </w:r>
      <w:r w:rsidR="009853DD" w:rsidRPr="000F61EE">
        <w:rPr>
          <w:rFonts w:ascii="Tahoma" w:hAnsi="Tahoma" w:cs="Tahoma"/>
          <w:sz w:val="24"/>
          <w:szCs w:val="24"/>
        </w:rPr>
        <w:t xml:space="preserve">conférence organisée </w:t>
      </w:r>
      <w:r w:rsidRPr="000F61EE">
        <w:rPr>
          <w:rFonts w:ascii="Tahoma" w:hAnsi="Tahoma" w:cs="Tahoma"/>
          <w:sz w:val="24"/>
          <w:szCs w:val="24"/>
        </w:rPr>
        <w:t>à Bruxelles par la présidence belge du Comité des Ministres</w:t>
      </w:r>
      <w:r w:rsidR="009853DD" w:rsidRPr="000F61EE">
        <w:rPr>
          <w:rFonts w:ascii="Tahoma" w:hAnsi="Tahoma" w:cs="Tahoma"/>
          <w:sz w:val="24"/>
          <w:szCs w:val="24"/>
        </w:rPr>
        <w:t xml:space="preserve"> sur la mise en œuvre de la Convention européenne des droits de l’homme</w:t>
      </w:r>
      <w:r w:rsidR="002926C7">
        <w:rPr>
          <w:rFonts w:ascii="Tahoma" w:hAnsi="Tahoma" w:cs="Tahoma"/>
          <w:sz w:val="24"/>
          <w:szCs w:val="24"/>
        </w:rPr>
        <w:t>. Plusieurs Etats o</w:t>
      </w:r>
      <w:r w:rsidR="009853DD" w:rsidRPr="000F61EE">
        <w:rPr>
          <w:rFonts w:ascii="Tahoma" w:hAnsi="Tahoma" w:cs="Tahoma"/>
          <w:sz w:val="24"/>
          <w:szCs w:val="24"/>
        </w:rPr>
        <w:t xml:space="preserve">nt </w:t>
      </w:r>
      <w:r w:rsidR="002926C7">
        <w:rPr>
          <w:rFonts w:ascii="Tahoma" w:hAnsi="Tahoma" w:cs="Tahoma"/>
          <w:sz w:val="24"/>
          <w:szCs w:val="24"/>
        </w:rPr>
        <w:t xml:space="preserve">de nouveau </w:t>
      </w:r>
      <w:r w:rsidR="009853DD" w:rsidRPr="000F61EE">
        <w:rPr>
          <w:rFonts w:ascii="Tahoma" w:hAnsi="Tahoma" w:cs="Tahoma"/>
          <w:sz w:val="24"/>
          <w:szCs w:val="24"/>
        </w:rPr>
        <w:t>soutenu l’idée de sanctions</w:t>
      </w:r>
      <w:r w:rsidR="002926C7">
        <w:rPr>
          <w:rFonts w:ascii="Tahoma" w:hAnsi="Tahoma" w:cs="Tahoma"/>
          <w:sz w:val="24"/>
          <w:szCs w:val="24"/>
        </w:rPr>
        <w:t xml:space="preserve"> mais d’autres o</w:t>
      </w:r>
      <w:r w:rsidRPr="000F61EE">
        <w:rPr>
          <w:rFonts w:ascii="Tahoma" w:hAnsi="Tahoma" w:cs="Tahoma"/>
          <w:sz w:val="24"/>
          <w:szCs w:val="24"/>
        </w:rPr>
        <w:t xml:space="preserve">nt </w:t>
      </w:r>
      <w:r w:rsidR="002926C7">
        <w:rPr>
          <w:rFonts w:ascii="Tahoma" w:hAnsi="Tahoma" w:cs="Tahoma"/>
          <w:sz w:val="24"/>
          <w:szCs w:val="24"/>
        </w:rPr>
        <w:t xml:space="preserve">réitéré </w:t>
      </w:r>
      <w:r w:rsidRPr="000F61EE">
        <w:rPr>
          <w:rFonts w:ascii="Tahoma" w:hAnsi="Tahoma" w:cs="Tahoma"/>
          <w:sz w:val="24"/>
          <w:szCs w:val="24"/>
        </w:rPr>
        <w:t>qu’il s’agissait pour eux d’une ligne rouge infranchissable, de sorte que la mention d’un pouvoir de sanction du Comité ne fut finalement p</w:t>
      </w:r>
      <w:r w:rsidR="009853DD" w:rsidRPr="000F61EE">
        <w:rPr>
          <w:rFonts w:ascii="Tahoma" w:hAnsi="Tahoma" w:cs="Tahoma"/>
          <w:sz w:val="24"/>
          <w:szCs w:val="24"/>
        </w:rPr>
        <w:t xml:space="preserve">as retenue dans </w:t>
      </w:r>
      <w:r w:rsidR="002E5FF9" w:rsidRPr="000F61EE">
        <w:rPr>
          <w:rFonts w:ascii="Tahoma" w:hAnsi="Tahoma" w:cs="Tahoma"/>
          <w:sz w:val="24"/>
          <w:szCs w:val="24"/>
        </w:rPr>
        <w:t>la Déclaration adoptée par</w:t>
      </w:r>
      <w:r w:rsidRPr="000F61EE">
        <w:rPr>
          <w:rFonts w:ascii="Tahoma" w:hAnsi="Tahoma" w:cs="Tahoma"/>
          <w:sz w:val="24"/>
          <w:szCs w:val="24"/>
        </w:rPr>
        <w:t xml:space="preserve"> la conférence de Bruxelles.</w:t>
      </w:r>
    </w:p>
    <w:p w:rsidR="002926C7" w:rsidRPr="000F61EE" w:rsidRDefault="002926C7" w:rsidP="00A92571">
      <w:pPr>
        <w:spacing w:line="360" w:lineRule="auto"/>
        <w:jc w:val="both"/>
        <w:rPr>
          <w:rFonts w:ascii="Tahoma" w:hAnsi="Tahoma" w:cs="Tahoma"/>
          <w:sz w:val="24"/>
          <w:szCs w:val="24"/>
        </w:rPr>
      </w:pPr>
      <w:r>
        <w:rPr>
          <w:rFonts w:ascii="Tahoma" w:hAnsi="Tahoma" w:cs="Tahoma"/>
          <w:sz w:val="24"/>
          <w:szCs w:val="24"/>
        </w:rPr>
        <w:t xml:space="preserve">Je ne voudrais toutefois pas terminer sur une note négative. La surveillance du processus d’exécution </w:t>
      </w:r>
      <w:r w:rsidR="00E54F8B">
        <w:rPr>
          <w:rFonts w:ascii="Tahoma" w:hAnsi="Tahoma" w:cs="Tahoma"/>
          <w:sz w:val="24"/>
          <w:szCs w:val="24"/>
        </w:rPr>
        <w:t>par le Comité des Ministres a permis d’obteni</w:t>
      </w:r>
      <w:r w:rsidR="008B4561">
        <w:rPr>
          <w:rFonts w:ascii="Tahoma" w:hAnsi="Tahoma" w:cs="Tahoma"/>
          <w:sz w:val="24"/>
          <w:szCs w:val="24"/>
        </w:rPr>
        <w:t>r</w:t>
      </w:r>
      <w:r w:rsidR="00E54F8B">
        <w:rPr>
          <w:rFonts w:ascii="Tahoma" w:hAnsi="Tahoma" w:cs="Tahoma"/>
          <w:sz w:val="24"/>
          <w:szCs w:val="24"/>
        </w:rPr>
        <w:t xml:space="preserve"> de nombreuses avancées, parfois très substantielle, dans les Etats parties à la Convention européenne des Droits de l’Homme. Nonobstant les critiques dont il peut faire l’objet, il reste l’un des mécanismes les plus aboutis au niveau international dans la défense des droits fondamentaux. </w:t>
      </w:r>
    </w:p>
    <w:sectPr w:rsidR="002926C7" w:rsidRPr="000F61EE" w:rsidSect="00680E6E">
      <w:footerReference w:type="defaul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F6B" w:rsidRDefault="00C42F6B" w:rsidP="006E48B6">
      <w:pPr>
        <w:spacing w:after="0" w:line="240" w:lineRule="auto"/>
      </w:pPr>
      <w:r>
        <w:separator/>
      </w:r>
    </w:p>
  </w:endnote>
  <w:endnote w:type="continuationSeparator" w:id="0">
    <w:p w:rsidR="00C42F6B" w:rsidRDefault="00C42F6B" w:rsidP="006E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433088"/>
      <w:docPartObj>
        <w:docPartGallery w:val="Page Numbers (Bottom of Page)"/>
        <w:docPartUnique/>
      </w:docPartObj>
    </w:sdtPr>
    <w:sdtEndPr>
      <w:rPr>
        <w:noProof/>
      </w:rPr>
    </w:sdtEndPr>
    <w:sdtContent>
      <w:p w:rsidR="00680E6E" w:rsidRDefault="00680E6E">
        <w:pPr>
          <w:pStyle w:val="Pidipagina"/>
          <w:jc w:val="center"/>
        </w:pPr>
        <w:r>
          <w:fldChar w:fldCharType="begin"/>
        </w:r>
        <w:r>
          <w:instrText xml:space="preserve"> PAGE   \* MERGEFORMAT </w:instrText>
        </w:r>
        <w:r>
          <w:fldChar w:fldCharType="separate"/>
        </w:r>
        <w:r w:rsidR="008B4561">
          <w:rPr>
            <w:noProof/>
          </w:rPr>
          <w:t>10</w:t>
        </w:r>
        <w:r>
          <w:rPr>
            <w:noProof/>
          </w:rPr>
          <w:fldChar w:fldCharType="end"/>
        </w:r>
      </w:p>
    </w:sdtContent>
  </w:sdt>
  <w:p w:rsidR="00680E6E" w:rsidRDefault="00680E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F6B" w:rsidRDefault="00C42F6B" w:rsidP="006E48B6">
      <w:pPr>
        <w:spacing w:after="0" w:line="240" w:lineRule="auto"/>
      </w:pPr>
      <w:r>
        <w:separator/>
      </w:r>
    </w:p>
  </w:footnote>
  <w:footnote w:type="continuationSeparator" w:id="0">
    <w:p w:rsidR="00C42F6B" w:rsidRDefault="00C42F6B" w:rsidP="006E48B6">
      <w:pPr>
        <w:spacing w:after="0" w:line="240" w:lineRule="auto"/>
      </w:pPr>
      <w:r>
        <w:continuationSeparator/>
      </w:r>
    </w:p>
  </w:footnote>
  <w:footnote w:id="1">
    <w:p w:rsidR="005518DB" w:rsidRPr="005518DB" w:rsidRDefault="005518DB">
      <w:pPr>
        <w:pStyle w:val="Testonotaapidipagina"/>
        <w:rPr>
          <w:rFonts w:ascii="Arial" w:hAnsi="Arial" w:cs="Arial"/>
          <w:sz w:val="16"/>
          <w:szCs w:val="16"/>
        </w:rPr>
      </w:pPr>
      <w:r>
        <w:rPr>
          <w:rStyle w:val="Rimandonotaapidipagina"/>
        </w:rPr>
        <w:footnoteRef/>
      </w:r>
      <w:r>
        <w:t xml:space="preserve"> </w:t>
      </w:r>
      <w:r>
        <w:rPr>
          <w:rFonts w:ascii="Arial" w:hAnsi="Arial" w:cs="Arial"/>
          <w:sz w:val="16"/>
          <w:szCs w:val="16"/>
        </w:rPr>
        <w:t xml:space="preserve">La compilation des contributions au débat thématique est disponible sous </w:t>
      </w:r>
      <w:hyperlink r:id="rId1" w:history="1">
        <w:r w:rsidRPr="00EA4250">
          <w:rPr>
            <w:rStyle w:val="Collegamentoipertestuale"/>
            <w:rFonts w:ascii="Arial" w:hAnsi="Arial" w:cs="Arial"/>
            <w:sz w:val="16"/>
            <w:szCs w:val="16"/>
          </w:rPr>
          <w:t>https://search.coe.int/cm/Pages/result_details.aspx?ObjectId=09000016807b924a</w:t>
        </w:r>
      </w:hyperlink>
    </w:p>
  </w:footnote>
  <w:footnote w:id="2">
    <w:p w:rsidR="006E48B6" w:rsidRPr="006E48B6" w:rsidRDefault="006E48B6">
      <w:pPr>
        <w:pStyle w:val="Testonotaapidipagina"/>
        <w:rPr>
          <w:rFonts w:ascii="Arial" w:hAnsi="Arial" w:cs="Arial"/>
          <w:sz w:val="16"/>
          <w:szCs w:val="16"/>
        </w:rPr>
      </w:pPr>
      <w:r>
        <w:rPr>
          <w:rStyle w:val="Rimandonotaapidipagina"/>
        </w:rPr>
        <w:footnoteRef/>
      </w:r>
      <w:r>
        <w:t xml:space="preserve"> </w:t>
      </w:r>
      <w:r w:rsidRPr="006E48B6">
        <w:rPr>
          <w:rFonts w:ascii="Arial" w:hAnsi="Arial" w:cs="Arial"/>
          <w:sz w:val="16"/>
          <w:szCs w:val="16"/>
        </w:rPr>
        <w:t xml:space="preserve">Voir notamment l’arrêt </w:t>
      </w:r>
      <w:r w:rsidRPr="006E48B6">
        <w:rPr>
          <w:rFonts w:ascii="Arial" w:hAnsi="Arial" w:cs="Arial"/>
          <w:sz w:val="16"/>
          <w:szCs w:val="16"/>
        </w:rPr>
        <w:t>Catan et autres c. République de Moldova et Russie et en juillet de cette année les arrêts Sandu et autres et Mangir et autres, à nouveau c. la République de Moldova et la Russie.</w:t>
      </w:r>
    </w:p>
  </w:footnote>
  <w:footnote w:id="3">
    <w:p w:rsidR="006E48B6" w:rsidRPr="006E48B6" w:rsidRDefault="006E48B6" w:rsidP="006E48B6">
      <w:pPr>
        <w:pStyle w:val="Testonotaapidipagina"/>
        <w:rPr>
          <w:rFonts w:ascii="Arial" w:hAnsi="Arial" w:cs="Arial"/>
          <w:sz w:val="16"/>
          <w:szCs w:val="16"/>
        </w:rPr>
      </w:pPr>
      <w:r>
        <w:rPr>
          <w:rStyle w:val="Rimandonotaapidipagina"/>
        </w:rPr>
        <w:footnoteRef/>
      </w:r>
      <w:r>
        <w:t xml:space="preserve"> </w:t>
      </w:r>
      <w:r w:rsidRPr="006E48B6">
        <w:rPr>
          <w:rFonts w:ascii="Arial" w:hAnsi="Arial" w:cs="Arial"/>
          <w:sz w:val="16"/>
          <w:szCs w:val="16"/>
        </w:rPr>
        <w:t>Article 46, paragraphe 4 : « Lorsque le Comité des Ministres estime qu’une Haute Partie contractante refuse de se conformer à un arrêt définitif dans un litige auquel elle est partie, il peut, après avoir mis en demeure cette Partie et par décision prise par un vote à la majorité des deux tiers des représentants ayant le droit de siéger au Comité, saisir la Cour de la question du respect par cette Partie de son obligation au regard du paragraphe 1. »</w:t>
      </w:r>
    </w:p>
    <w:p w:rsidR="006E48B6" w:rsidRDefault="006E48B6" w:rsidP="006E48B6">
      <w:pPr>
        <w:pStyle w:val="Testonotaapidipagina"/>
      </w:pPr>
    </w:p>
    <w:p w:rsidR="006E48B6" w:rsidRDefault="006E48B6" w:rsidP="006E48B6">
      <w:pPr>
        <w:pStyle w:val="Testonotaapidipagina"/>
      </w:pPr>
      <w:r>
        <w:t xml:space="preserve">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DB"/>
    <w:rsid w:val="00020574"/>
    <w:rsid w:val="000825DB"/>
    <w:rsid w:val="00094F39"/>
    <w:rsid w:val="000F61EE"/>
    <w:rsid w:val="00114E23"/>
    <w:rsid w:val="00146588"/>
    <w:rsid w:val="00165EE6"/>
    <w:rsid w:val="00173196"/>
    <w:rsid w:val="00193FBB"/>
    <w:rsid w:val="001955C7"/>
    <w:rsid w:val="001E016B"/>
    <w:rsid w:val="002872BF"/>
    <w:rsid w:val="002926C7"/>
    <w:rsid w:val="002C20DD"/>
    <w:rsid w:val="002C7B37"/>
    <w:rsid w:val="002E5FF9"/>
    <w:rsid w:val="00336CD5"/>
    <w:rsid w:val="0039266E"/>
    <w:rsid w:val="00393468"/>
    <w:rsid w:val="003C410D"/>
    <w:rsid w:val="004100CB"/>
    <w:rsid w:val="004619FE"/>
    <w:rsid w:val="004735A8"/>
    <w:rsid w:val="004A13A3"/>
    <w:rsid w:val="004B44E4"/>
    <w:rsid w:val="004D6121"/>
    <w:rsid w:val="004E1FDC"/>
    <w:rsid w:val="00517129"/>
    <w:rsid w:val="005518DB"/>
    <w:rsid w:val="005E6435"/>
    <w:rsid w:val="00616D3F"/>
    <w:rsid w:val="00633040"/>
    <w:rsid w:val="006356FF"/>
    <w:rsid w:val="006441A0"/>
    <w:rsid w:val="006601D1"/>
    <w:rsid w:val="00680E6E"/>
    <w:rsid w:val="006A5D69"/>
    <w:rsid w:val="006B180A"/>
    <w:rsid w:val="006E48B6"/>
    <w:rsid w:val="007451DB"/>
    <w:rsid w:val="00782F07"/>
    <w:rsid w:val="007E3699"/>
    <w:rsid w:val="008017BE"/>
    <w:rsid w:val="008603C4"/>
    <w:rsid w:val="008B4561"/>
    <w:rsid w:val="008D0187"/>
    <w:rsid w:val="008F1486"/>
    <w:rsid w:val="009113AF"/>
    <w:rsid w:val="0092265C"/>
    <w:rsid w:val="009853DD"/>
    <w:rsid w:val="00A15D1D"/>
    <w:rsid w:val="00A27DC5"/>
    <w:rsid w:val="00A55EBA"/>
    <w:rsid w:val="00A74853"/>
    <w:rsid w:val="00A92571"/>
    <w:rsid w:val="00AF6BD5"/>
    <w:rsid w:val="00B46839"/>
    <w:rsid w:val="00B475BB"/>
    <w:rsid w:val="00B61A20"/>
    <w:rsid w:val="00B979B9"/>
    <w:rsid w:val="00BD7603"/>
    <w:rsid w:val="00C42F6B"/>
    <w:rsid w:val="00C768D8"/>
    <w:rsid w:val="00CF55F1"/>
    <w:rsid w:val="00D005AE"/>
    <w:rsid w:val="00D458CB"/>
    <w:rsid w:val="00D94814"/>
    <w:rsid w:val="00D96FB2"/>
    <w:rsid w:val="00DA703D"/>
    <w:rsid w:val="00E267DB"/>
    <w:rsid w:val="00E54F8B"/>
    <w:rsid w:val="00E65B8E"/>
    <w:rsid w:val="00E75542"/>
    <w:rsid w:val="00F03C18"/>
    <w:rsid w:val="00F8138E"/>
    <w:rsid w:val="00F91319"/>
    <w:rsid w:val="00F92581"/>
    <w:rsid w:val="00F94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BB42CAD-1480-4CD3-8F6D-232C427E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01D1"/>
    <w:rPr>
      <w:color w:val="0000FF" w:themeColor="hyperlink"/>
      <w:u w:val="single"/>
    </w:rPr>
  </w:style>
  <w:style w:type="paragraph" w:styleId="Testonotaapidipagina">
    <w:name w:val="footnote text"/>
    <w:basedOn w:val="Normale"/>
    <w:link w:val="TestonotaapidipaginaCarattere"/>
    <w:uiPriority w:val="99"/>
    <w:unhideWhenUsed/>
    <w:rsid w:val="006E48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E48B6"/>
    <w:rPr>
      <w:sz w:val="20"/>
      <w:szCs w:val="20"/>
    </w:rPr>
  </w:style>
  <w:style w:type="character" w:styleId="Rimandonotaapidipagina">
    <w:name w:val="footnote reference"/>
    <w:basedOn w:val="Carpredefinitoparagrafo"/>
    <w:uiPriority w:val="99"/>
    <w:semiHidden/>
    <w:unhideWhenUsed/>
    <w:rsid w:val="006E48B6"/>
    <w:rPr>
      <w:vertAlign w:val="superscript"/>
    </w:rPr>
  </w:style>
  <w:style w:type="paragraph" w:styleId="Nessunaspaziatura">
    <w:name w:val="No Spacing"/>
    <w:uiPriority w:val="1"/>
    <w:qFormat/>
    <w:rsid w:val="00A92571"/>
    <w:pPr>
      <w:spacing w:after="0" w:line="240" w:lineRule="auto"/>
    </w:pPr>
  </w:style>
  <w:style w:type="paragraph" w:styleId="Intestazione">
    <w:name w:val="header"/>
    <w:basedOn w:val="Normale"/>
    <w:link w:val="IntestazioneCarattere"/>
    <w:uiPriority w:val="99"/>
    <w:unhideWhenUsed/>
    <w:rsid w:val="00680E6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80E6E"/>
  </w:style>
  <w:style w:type="paragraph" w:styleId="Pidipagina">
    <w:name w:val="footer"/>
    <w:basedOn w:val="Normale"/>
    <w:link w:val="PidipaginaCarattere"/>
    <w:uiPriority w:val="99"/>
    <w:unhideWhenUsed/>
    <w:rsid w:val="00680E6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80E6E"/>
  </w:style>
  <w:style w:type="paragraph" w:styleId="Testofumetto">
    <w:name w:val="Balloon Text"/>
    <w:basedOn w:val="Normale"/>
    <w:link w:val="TestofumettoCarattere"/>
    <w:uiPriority w:val="99"/>
    <w:semiHidden/>
    <w:unhideWhenUsed/>
    <w:rsid w:val="00E54F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4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e.int/fr/web/execu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7b924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A956-68C3-4435-90EE-5DE16E50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3161</Words>
  <Characters>18018</Characters>
  <Application>Microsoft Office Word</Application>
  <DocSecurity>0</DocSecurity>
  <Lines>150</Lines>
  <Paragraphs>42</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POIREL Christophe</dc:creator>
  <cp:lastModifiedBy>Catia Ferrieri</cp:lastModifiedBy>
  <cp:revision>2</cp:revision>
  <cp:lastPrinted>2018-10-24T10:08:00Z</cp:lastPrinted>
  <dcterms:created xsi:type="dcterms:W3CDTF">2018-10-24T14:07:00Z</dcterms:created>
  <dcterms:modified xsi:type="dcterms:W3CDTF">2018-10-24T14:07:00Z</dcterms:modified>
</cp:coreProperties>
</file>